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37C1" w14:textId="77777777" w:rsidR="00B22988" w:rsidRPr="00B22988" w:rsidRDefault="00B22988" w:rsidP="00B22988">
      <w:pPr>
        <w:jc w:val="center"/>
        <w:rPr>
          <w:b/>
          <w:bCs/>
          <w:lang w:val="en-GB"/>
        </w:rPr>
      </w:pPr>
      <w:r w:rsidRPr="00B22988">
        <w:rPr>
          <w:b/>
          <w:bCs/>
          <w:lang w:val="en-GB"/>
        </w:rPr>
        <w:t>CALL FOR CHAPTERS</w:t>
      </w:r>
    </w:p>
    <w:p w14:paraId="7281A66D" w14:textId="77777777" w:rsidR="00B22988" w:rsidRPr="00B22988" w:rsidRDefault="00B22988" w:rsidP="00B22988">
      <w:pPr>
        <w:jc w:val="center"/>
        <w:rPr>
          <w:b/>
          <w:bCs/>
          <w:lang w:val="en-GB"/>
        </w:rPr>
      </w:pPr>
      <w:r w:rsidRPr="00B22988">
        <w:rPr>
          <w:b/>
          <w:bCs/>
          <w:lang w:val="en-GB"/>
        </w:rPr>
        <w:t>Plural Mediterranean: Perspectives from the South and East</w:t>
      </w:r>
    </w:p>
    <w:p w14:paraId="72DA9017" w14:textId="77777777" w:rsidR="00B22988" w:rsidRPr="00B22988" w:rsidRDefault="00B22988" w:rsidP="00B22988">
      <w:pPr>
        <w:jc w:val="center"/>
        <w:rPr>
          <w:lang w:val="en-GB"/>
        </w:rPr>
      </w:pPr>
      <w:r w:rsidRPr="00B22988">
        <w:rPr>
          <w:b/>
          <w:bCs/>
          <w:lang w:val="en-GB"/>
        </w:rPr>
        <w:t>Interconnected Transitions, Societies and Futures of the Mediterranean</w:t>
      </w:r>
    </w:p>
    <w:p w14:paraId="45D6C328" w14:textId="7F0D4D73" w:rsidR="00B22988" w:rsidRPr="00B22988" w:rsidRDefault="00B22988" w:rsidP="00B22988">
      <w:pPr>
        <w:jc w:val="center"/>
      </w:pPr>
      <w:proofErr w:type="spellStart"/>
      <w:r w:rsidRPr="00B22988">
        <w:t>Edited</w:t>
      </w:r>
      <w:proofErr w:type="spellEnd"/>
      <w:r w:rsidRPr="00B22988">
        <w:t xml:space="preserve"> by</w:t>
      </w:r>
      <w:r>
        <w:t xml:space="preserve"> </w:t>
      </w:r>
      <w:r w:rsidRPr="00B22988">
        <w:t xml:space="preserve">Salvatore Capasso, Giovanni Canitano, </w:t>
      </w:r>
      <w:proofErr w:type="spellStart"/>
      <w:r w:rsidRPr="00B22988">
        <w:t>Ouafae</w:t>
      </w:r>
      <w:proofErr w:type="spellEnd"/>
      <w:r w:rsidRPr="00B22988">
        <w:t xml:space="preserve"> </w:t>
      </w:r>
      <w:proofErr w:type="spellStart"/>
      <w:r w:rsidRPr="00B22988">
        <w:t>Nahli</w:t>
      </w:r>
      <w:proofErr w:type="spellEnd"/>
    </w:p>
    <w:p w14:paraId="5B09B8A9" w14:textId="0624FDD3" w:rsidR="00B22988" w:rsidRPr="00B22988" w:rsidRDefault="00B22988" w:rsidP="00B22988"/>
    <w:p w14:paraId="1EFE1126" w14:textId="1D4FD159" w:rsidR="00B22988" w:rsidRPr="00B22988" w:rsidRDefault="00B22988" w:rsidP="00B22988">
      <w:pPr>
        <w:rPr>
          <w:b/>
          <w:bCs/>
          <w:lang w:val="en-GB"/>
        </w:rPr>
      </w:pPr>
      <w:r w:rsidRPr="00B22988">
        <w:rPr>
          <w:b/>
          <w:bCs/>
          <w:lang w:val="en-GB"/>
        </w:rPr>
        <w:t>Call for C</w:t>
      </w:r>
      <w:r>
        <w:rPr>
          <w:b/>
          <w:bCs/>
          <w:lang w:val="en-GB"/>
        </w:rPr>
        <w:t>hapters</w:t>
      </w:r>
    </w:p>
    <w:p w14:paraId="13E4ABE9" w14:textId="77777777" w:rsidR="00B22988" w:rsidRPr="00B22988" w:rsidRDefault="00B22988" w:rsidP="00B22988">
      <w:pPr>
        <w:rPr>
          <w:lang w:val="en-GB"/>
        </w:rPr>
      </w:pPr>
      <w:r w:rsidRPr="00B22988">
        <w:rPr>
          <w:lang w:val="en-GB"/>
        </w:rPr>
        <w:t xml:space="preserve">Scholars, experts, and researchers are invited to submit proposals for the volume </w:t>
      </w:r>
      <w:r w:rsidRPr="00B22988">
        <w:rPr>
          <w:i/>
          <w:iCs/>
          <w:lang w:val="en-GB"/>
        </w:rPr>
        <w:t>Plural Mediterranean: Perspectives from the South and East. Interconnected Transitions, Societies and Futures of the Mediterranean</w:t>
      </w:r>
      <w:r w:rsidRPr="00B22988">
        <w:rPr>
          <w:lang w:val="en-GB"/>
        </w:rPr>
        <w:t>, to be published by Il Mulino (print edition, e-book, and open access).</w:t>
      </w:r>
    </w:p>
    <w:p w14:paraId="46A3B999" w14:textId="77777777" w:rsidR="00B22988" w:rsidRPr="00B22988" w:rsidRDefault="00B22988" w:rsidP="00B22988">
      <w:pPr>
        <w:rPr>
          <w:lang w:val="en-GB"/>
        </w:rPr>
      </w:pPr>
      <w:r w:rsidRPr="00B22988">
        <w:rPr>
          <w:lang w:val="en-GB"/>
        </w:rPr>
        <w:t>This edition aims to overturn traditional analytical perspectives by placing at the centre the visions, experiences, and transformation trajectories of countries on the southern and eastern shores of the Mediterranean, with particular attention to scientific production in the Arabic language.</w:t>
      </w:r>
    </w:p>
    <w:p w14:paraId="12140604" w14:textId="77777777" w:rsidR="00B22988" w:rsidRPr="00B22988" w:rsidRDefault="00B22988" w:rsidP="00B22988">
      <w:pPr>
        <w:rPr>
          <w:lang w:val="en-GB"/>
        </w:rPr>
      </w:pPr>
      <w:r w:rsidRPr="00B22988">
        <w:rPr>
          <w:lang w:val="en-GB"/>
        </w:rPr>
        <w:t>The objective is to give voice to a plurality of narratives and interpretations emerging from contexts often underrepresented in the international academic debate, thereby contributing to a more balanced and polycentric understanding of Mediterranean dynamics.</w:t>
      </w:r>
    </w:p>
    <w:p w14:paraId="25377C5B" w14:textId="542A4A90" w:rsidR="00B22988" w:rsidRPr="002F3D61" w:rsidRDefault="00B22988" w:rsidP="00B22988">
      <w:pPr>
        <w:rPr>
          <w:lang w:val="en-GB"/>
        </w:rPr>
      </w:pPr>
    </w:p>
    <w:p w14:paraId="5CAA6BAD" w14:textId="77777777" w:rsidR="00B22988" w:rsidRPr="00B22988" w:rsidRDefault="00B22988" w:rsidP="00B22988">
      <w:pPr>
        <w:rPr>
          <w:b/>
          <w:bCs/>
          <w:lang w:val="en-GB"/>
        </w:rPr>
      </w:pPr>
      <w:r w:rsidRPr="00B22988">
        <w:rPr>
          <w:b/>
          <w:bCs/>
          <w:lang w:val="en-GB"/>
        </w:rPr>
        <w:t>Context</w:t>
      </w:r>
    </w:p>
    <w:p w14:paraId="10F1A3AB" w14:textId="77777777" w:rsidR="00B22988" w:rsidRPr="00B22988" w:rsidRDefault="00B22988" w:rsidP="00B22988">
      <w:pPr>
        <w:rPr>
          <w:lang w:val="en-GB"/>
        </w:rPr>
      </w:pPr>
      <w:r w:rsidRPr="00B22988">
        <w:rPr>
          <w:lang w:val="en-GB"/>
        </w:rPr>
        <w:t>The contemporary Mediterranean is undergoing profound economic, social, and environmental transformations. However, these changes are often interpreted through analytical categories and priorities largely defined by the northern shore.</w:t>
      </w:r>
    </w:p>
    <w:p w14:paraId="2120861A" w14:textId="77777777" w:rsidR="00B22988" w:rsidRPr="00B22988" w:rsidRDefault="00B22988" w:rsidP="00B22988">
      <w:pPr>
        <w:rPr>
          <w:lang w:val="en-GB"/>
        </w:rPr>
      </w:pPr>
      <w:r w:rsidRPr="00B22988">
        <w:rPr>
          <w:lang w:val="en-GB"/>
        </w:rPr>
        <w:t>This volume instead seeks to:</w:t>
      </w:r>
    </w:p>
    <w:p w14:paraId="77C56903" w14:textId="77777777" w:rsidR="00B22988" w:rsidRPr="00B22988" w:rsidRDefault="00B22988" w:rsidP="00B22988">
      <w:pPr>
        <w:numPr>
          <w:ilvl w:val="0"/>
          <w:numId w:val="1"/>
        </w:numPr>
        <w:rPr>
          <w:lang w:val="en-GB"/>
        </w:rPr>
      </w:pPr>
      <w:r w:rsidRPr="00B22988">
        <w:rPr>
          <w:lang w:val="en-GB"/>
        </w:rPr>
        <w:t>valorise epistemological and methodological perspectives rooted in local contexts;</w:t>
      </w:r>
    </w:p>
    <w:p w14:paraId="6B5A8290" w14:textId="77777777" w:rsidR="00B22988" w:rsidRPr="00B22988" w:rsidRDefault="00B22988" w:rsidP="00B22988">
      <w:pPr>
        <w:numPr>
          <w:ilvl w:val="0"/>
          <w:numId w:val="1"/>
        </w:numPr>
        <w:rPr>
          <w:lang w:val="en-GB"/>
        </w:rPr>
      </w:pPr>
      <w:r w:rsidRPr="00B22988">
        <w:rPr>
          <w:lang w:val="en-GB"/>
        </w:rPr>
        <w:t>highlight strategies of adaptation, resilience, and innovation developed in Arab and Middle Eastern countries;</w:t>
      </w:r>
    </w:p>
    <w:p w14:paraId="0A4FAC80" w14:textId="77777777" w:rsidR="00B22988" w:rsidRPr="00B22988" w:rsidRDefault="00B22988" w:rsidP="00B22988">
      <w:pPr>
        <w:numPr>
          <w:ilvl w:val="0"/>
          <w:numId w:val="1"/>
        </w:numPr>
        <w:rPr>
          <w:lang w:val="en-GB"/>
        </w:rPr>
      </w:pPr>
      <w:r w:rsidRPr="00B22988">
        <w:rPr>
          <w:lang w:val="en-GB"/>
        </w:rPr>
        <w:t>analyse key transitions (demographic, digital, ecological) from the standpoint of the priorities, needs, and visions of societies in the South and East.</w:t>
      </w:r>
    </w:p>
    <w:p w14:paraId="2D996A6A" w14:textId="77777777" w:rsidR="00B22988" w:rsidRPr="00B22988" w:rsidRDefault="00B22988" w:rsidP="00B22988">
      <w:pPr>
        <w:rPr>
          <w:lang w:val="en-GB"/>
        </w:rPr>
      </w:pPr>
      <w:r w:rsidRPr="00B22988">
        <w:rPr>
          <w:lang w:val="en-GB"/>
        </w:rPr>
        <w:t>The Mediterranean is thus interpreted not only as a space of interconnection, but as a mosaic of plural experiences, where development trajectories are neither uniform nor linear, but differentiated and often divergent.</w:t>
      </w:r>
    </w:p>
    <w:p w14:paraId="71943C05" w14:textId="1A1F1382" w:rsidR="00B22988" w:rsidRPr="002F3D61" w:rsidRDefault="00B22988" w:rsidP="00B22988">
      <w:pPr>
        <w:rPr>
          <w:lang w:val="en-GB"/>
        </w:rPr>
      </w:pPr>
    </w:p>
    <w:p w14:paraId="5ECF9203" w14:textId="77777777" w:rsidR="00B22988" w:rsidRPr="00B22988" w:rsidRDefault="00B22988" w:rsidP="00B22988">
      <w:pPr>
        <w:rPr>
          <w:b/>
          <w:bCs/>
          <w:lang w:val="en-GB"/>
        </w:rPr>
      </w:pPr>
      <w:r w:rsidRPr="00B22988">
        <w:rPr>
          <w:b/>
          <w:bCs/>
          <w:lang w:val="en-GB"/>
        </w:rPr>
        <w:t>Objectives of the Volume</w:t>
      </w:r>
    </w:p>
    <w:p w14:paraId="5C216337" w14:textId="77777777" w:rsidR="00B22988" w:rsidRPr="00B22988" w:rsidRDefault="00B22988" w:rsidP="00B22988">
      <w:pPr>
        <w:rPr>
          <w:lang w:val="en-GB"/>
        </w:rPr>
      </w:pPr>
      <w:r w:rsidRPr="00B22988">
        <w:rPr>
          <w:lang w:val="en-GB"/>
        </w:rPr>
        <w:t>The volume aims to:</w:t>
      </w:r>
    </w:p>
    <w:p w14:paraId="07E824ED" w14:textId="77777777" w:rsidR="00B22988" w:rsidRPr="00B22988" w:rsidRDefault="00B22988" w:rsidP="00B22988">
      <w:pPr>
        <w:numPr>
          <w:ilvl w:val="0"/>
          <w:numId w:val="2"/>
        </w:numPr>
        <w:rPr>
          <w:lang w:val="en-GB"/>
        </w:rPr>
      </w:pPr>
      <w:r w:rsidRPr="00B22988">
        <w:rPr>
          <w:lang w:val="en-GB"/>
        </w:rPr>
        <w:t>promote a critical re-reading of Mediterranean transformations from the perspective of southern and eastern countries;</w:t>
      </w:r>
    </w:p>
    <w:p w14:paraId="6FDD59CF" w14:textId="77777777" w:rsidR="00B22988" w:rsidRPr="00B22988" w:rsidRDefault="00B22988" w:rsidP="00B22988">
      <w:pPr>
        <w:numPr>
          <w:ilvl w:val="0"/>
          <w:numId w:val="2"/>
        </w:numPr>
        <w:rPr>
          <w:lang w:val="en-GB"/>
        </w:rPr>
      </w:pPr>
      <w:r w:rsidRPr="00B22988">
        <w:rPr>
          <w:lang w:val="en-GB"/>
        </w:rPr>
        <w:t>highlight alternative forms of development, governance, and social innovation;</w:t>
      </w:r>
    </w:p>
    <w:p w14:paraId="19CB3F81" w14:textId="77777777" w:rsidR="00B22988" w:rsidRPr="00B22988" w:rsidRDefault="00B22988" w:rsidP="00B22988">
      <w:pPr>
        <w:numPr>
          <w:ilvl w:val="0"/>
          <w:numId w:val="2"/>
        </w:numPr>
        <w:rPr>
          <w:lang w:val="en-GB"/>
        </w:rPr>
      </w:pPr>
      <w:r w:rsidRPr="00B22988">
        <w:rPr>
          <w:lang w:val="en-GB"/>
        </w:rPr>
        <w:t>contribute to the construction of an inclusive and multi-level Mediterranean agenda capable of integrating diverse visions of the future;</w:t>
      </w:r>
    </w:p>
    <w:p w14:paraId="25500185" w14:textId="77777777" w:rsidR="00B22988" w:rsidRPr="00B22988" w:rsidRDefault="00B22988" w:rsidP="00B22988">
      <w:pPr>
        <w:numPr>
          <w:ilvl w:val="0"/>
          <w:numId w:val="2"/>
        </w:numPr>
        <w:rPr>
          <w:lang w:val="en-GB"/>
        </w:rPr>
      </w:pPr>
      <w:r w:rsidRPr="00B22988">
        <w:rPr>
          <w:lang w:val="en-GB"/>
        </w:rPr>
        <w:lastRenderedPageBreak/>
        <w:t>foster dialogue among scientific communities, institutions, and civil society across different regional contexts.</w:t>
      </w:r>
    </w:p>
    <w:p w14:paraId="09571400" w14:textId="353C2357" w:rsidR="00B22988" w:rsidRPr="002F3D61" w:rsidRDefault="00B22988" w:rsidP="00B22988">
      <w:pPr>
        <w:rPr>
          <w:lang w:val="en-GB"/>
        </w:rPr>
      </w:pPr>
    </w:p>
    <w:p w14:paraId="6CA6FED1" w14:textId="77777777" w:rsidR="00B22988" w:rsidRPr="00B22988" w:rsidRDefault="00B22988" w:rsidP="00B22988">
      <w:pPr>
        <w:rPr>
          <w:b/>
          <w:bCs/>
          <w:lang w:val="en-GB"/>
        </w:rPr>
      </w:pPr>
      <w:r w:rsidRPr="00B22988">
        <w:rPr>
          <w:b/>
          <w:bCs/>
          <w:lang w:val="en-GB"/>
        </w:rPr>
        <w:t>Main Themes</w:t>
      </w:r>
    </w:p>
    <w:p w14:paraId="5D8A8851" w14:textId="77777777" w:rsidR="00B22988" w:rsidRPr="00B22988" w:rsidRDefault="00B22988" w:rsidP="00B22988">
      <w:pPr>
        <w:rPr>
          <w:b/>
          <w:bCs/>
          <w:lang w:val="en-GB"/>
        </w:rPr>
      </w:pPr>
      <w:r w:rsidRPr="00B22988">
        <w:rPr>
          <w:b/>
          <w:bCs/>
          <w:lang w:val="en-GB"/>
        </w:rPr>
        <w:t>1. Narratives and Perspectives from the South and East</w:t>
      </w:r>
    </w:p>
    <w:p w14:paraId="269C76F3" w14:textId="77777777" w:rsidR="00B22988" w:rsidRPr="00B22988" w:rsidRDefault="00B22988" w:rsidP="00B22988">
      <w:pPr>
        <w:numPr>
          <w:ilvl w:val="0"/>
          <w:numId w:val="3"/>
        </w:numPr>
        <w:rPr>
          <w:lang w:val="en-GB"/>
        </w:rPr>
      </w:pPr>
      <w:r w:rsidRPr="00B22988">
        <w:rPr>
          <w:lang w:val="en-GB"/>
        </w:rPr>
        <w:t>Alternative theoretical and methodological approaches in Mediterranean social sciences</w:t>
      </w:r>
    </w:p>
    <w:p w14:paraId="5B8C14DA" w14:textId="77777777" w:rsidR="00B22988" w:rsidRPr="00B22988" w:rsidRDefault="00B22988" w:rsidP="00B22988">
      <w:pPr>
        <w:numPr>
          <w:ilvl w:val="0"/>
          <w:numId w:val="3"/>
        </w:numPr>
        <w:rPr>
          <w:lang w:val="en-GB"/>
        </w:rPr>
      </w:pPr>
      <w:r w:rsidRPr="00B22988">
        <w:rPr>
          <w:lang w:val="en-GB"/>
        </w:rPr>
        <w:t>Scientific production in Arabic and knowledge circulation dynamics</w:t>
      </w:r>
    </w:p>
    <w:p w14:paraId="2808E176" w14:textId="77777777" w:rsidR="00B22988" w:rsidRPr="00B22988" w:rsidRDefault="00B22988" w:rsidP="00B22988">
      <w:pPr>
        <w:numPr>
          <w:ilvl w:val="0"/>
          <w:numId w:val="3"/>
        </w:numPr>
      </w:pPr>
      <w:proofErr w:type="spellStart"/>
      <w:r w:rsidRPr="00B22988">
        <w:t>Decentring</w:t>
      </w:r>
      <w:proofErr w:type="spellEnd"/>
      <w:r w:rsidRPr="00B22988">
        <w:t xml:space="preserve"> </w:t>
      </w:r>
      <w:proofErr w:type="spellStart"/>
      <w:r w:rsidRPr="00B22988">
        <w:t>Eurocentric</w:t>
      </w:r>
      <w:proofErr w:type="spellEnd"/>
      <w:r w:rsidRPr="00B22988">
        <w:t xml:space="preserve"> </w:t>
      </w:r>
      <w:proofErr w:type="spellStart"/>
      <w:r w:rsidRPr="00B22988">
        <w:t>analytical</w:t>
      </w:r>
      <w:proofErr w:type="spellEnd"/>
      <w:r w:rsidRPr="00B22988">
        <w:t xml:space="preserve"> </w:t>
      </w:r>
      <w:proofErr w:type="spellStart"/>
      <w:r w:rsidRPr="00B22988">
        <w:t>categories</w:t>
      </w:r>
      <w:proofErr w:type="spellEnd"/>
    </w:p>
    <w:p w14:paraId="77BE45C7" w14:textId="77777777" w:rsidR="00B22988" w:rsidRPr="00B22988" w:rsidRDefault="00B22988" w:rsidP="00B22988">
      <w:pPr>
        <w:rPr>
          <w:b/>
          <w:bCs/>
          <w:lang w:val="en-GB"/>
        </w:rPr>
      </w:pPr>
      <w:r w:rsidRPr="00B22988">
        <w:rPr>
          <w:b/>
          <w:bCs/>
          <w:lang w:val="en-GB"/>
        </w:rPr>
        <w:t>2. Lived Transitions: Society, Economy, and Territories</w:t>
      </w:r>
    </w:p>
    <w:p w14:paraId="5987E24C" w14:textId="77777777" w:rsidR="00B22988" w:rsidRPr="00B22988" w:rsidRDefault="00B22988" w:rsidP="00B22988">
      <w:pPr>
        <w:numPr>
          <w:ilvl w:val="0"/>
          <w:numId w:val="4"/>
        </w:numPr>
      </w:pPr>
      <w:proofErr w:type="spellStart"/>
      <w:r w:rsidRPr="00B22988">
        <w:t>Demographic</w:t>
      </w:r>
      <w:proofErr w:type="spellEnd"/>
      <w:r w:rsidRPr="00B22988">
        <w:t xml:space="preserve"> </w:t>
      </w:r>
      <w:proofErr w:type="spellStart"/>
      <w:r w:rsidRPr="00B22988">
        <w:t>transformations</w:t>
      </w:r>
      <w:proofErr w:type="spellEnd"/>
      <w:r w:rsidRPr="00B22988">
        <w:t xml:space="preserve"> and </w:t>
      </w:r>
      <w:proofErr w:type="spellStart"/>
      <w:r w:rsidRPr="00B22988">
        <w:t>youth</w:t>
      </w:r>
      <w:proofErr w:type="spellEnd"/>
      <w:r w:rsidRPr="00B22988">
        <w:t xml:space="preserve"> dynamics</w:t>
      </w:r>
    </w:p>
    <w:p w14:paraId="4D0152F4" w14:textId="77777777" w:rsidR="00B22988" w:rsidRPr="00B22988" w:rsidRDefault="00B22988" w:rsidP="00B22988">
      <w:pPr>
        <w:numPr>
          <w:ilvl w:val="0"/>
          <w:numId w:val="4"/>
        </w:numPr>
        <w:rPr>
          <w:lang w:val="en-GB"/>
        </w:rPr>
      </w:pPr>
      <w:r w:rsidRPr="00B22988">
        <w:rPr>
          <w:lang w:val="en-GB"/>
        </w:rPr>
        <w:t>Labour markets, informality, and emerging economic forms</w:t>
      </w:r>
    </w:p>
    <w:p w14:paraId="46D83035" w14:textId="77777777" w:rsidR="00B22988" w:rsidRPr="00B22988" w:rsidRDefault="00B22988" w:rsidP="00B22988">
      <w:pPr>
        <w:numPr>
          <w:ilvl w:val="0"/>
          <w:numId w:val="4"/>
        </w:numPr>
      </w:pPr>
      <w:proofErr w:type="spellStart"/>
      <w:r w:rsidRPr="00B22988">
        <w:t>Urbanisation</w:t>
      </w:r>
      <w:proofErr w:type="spellEnd"/>
      <w:r w:rsidRPr="00B22988">
        <w:t xml:space="preserve">, </w:t>
      </w:r>
      <w:proofErr w:type="spellStart"/>
      <w:r w:rsidRPr="00B22988">
        <w:t>territories</w:t>
      </w:r>
      <w:proofErr w:type="spellEnd"/>
      <w:r w:rsidRPr="00B22988">
        <w:t xml:space="preserve">, and </w:t>
      </w:r>
      <w:proofErr w:type="spellStart"/>
      <w:r w:rsidRPr="00B22988">
        <w:t>inequalities</w:t>
      </w:r>
      <w:proofErr w:type="spellEnd"/>
    </w:p>
    <w:p w14:paraId="6EBE4BB9" w14:textId="77777777" w:rsidR="00B22988" w:rsidRPr="00B22988" w:rsidRDefault="00B22988" w:rsidP="00B22988">
      <w:pPr>
        <w:rPr>
          <w:b/>
          <w:bCs/>
        </w:rPr>
      </w:pPr>
      <w:r w:rsidRPr="00B22988">
        <w:rPr>
          <w:b/>
          <w:bCs/>
        </w:rPr>
        <w:t xml:space="preserve">3. Environment, </w:t>
      </w:r>
      <w:proofErr w:type="spellStart"/>
      <w:r w:rsidRPr="00B22988">
        <w:rPr>
          <w:b/>
          <w:bCs/>
        </w:rPr>
        <w:t>Resources</w:t>
      </w:r>
      <w:proofErr w:type="spellEnd"/>
      <w:r w:rsidRPr="00B22988">
        <w:rPr>
          <w:b/>
          <w:bCs/>
        </w:rPr>
        <w:t>, and Adaptation</w:t>
      </w:r>
    </w:p>
    <w:p w14:paraId="156BFCAF" w14:textId="77777777" w:rsidR="00B22988" w:rsidRPr="00B22988" w:rsidRDefault="00B22988" w:rsidP="00B22988">
      <w:pPr>
        <w:numPr>
          <w:ilvl w:val="0"/>
          <w:numId w:val="5"/>
        </w:numPr>
        <w:rPr>
          <w:lang w:val="en-GB"/>
        </w:rPr>
      </w:pPr>
      <w:r w:rsidRPr="00B22988">
        <w:rPr>
          <w:lang w:val="en-GB"/>
        </w:rPr>
        <w:t>Climate change, water scarcity, and food security</w:t>
      </w:r>
    </w:p>
    <w:p w14:paraId="6AC97E71" w14:textId="77777777" w:rsidR="00B22988" w:rsidRPr="00B22988" w:rsidRDefault="00B22988" w:rsidP="00B22988">
      <w:pPr>
        <w:numPr>
          <w:ilvl w:val="0"/>
          <w:numId w:val="5"/>
        </w:numPr>
        <w:rPr>
          <w:lang w:val="en-GB"/>
        </w:rPr>
      </w:pPr>
      <w:r w:rsidRPr="00B22988">
        <w:rPr>
          <w:lang w:val="en-GB"/>
        </w:rPr>
        <w:t>Local strategies of resilience and adaptation</w:t>
      </w:r>
    </w:p>
    <w:p w14:paraId="4F04B015" w14:textId="77777777" w:rsidR="00B22988" w:rsidRPr="00B22988" w:rsidRDefault="00B22988" w:rsidP="00B22988">
      <w:pPr>
        <w:numPr>
          <w:ilvl w:val="0"/>
          <w:numId w:val="5"/>
        </w:numPr>
        <w:rPr>
          <w:lang w:val="en-GB"/>
        </w:rPr>
      </w:pPr>
      <w:r w:rsidRPr="00B22988">
        <w:rPr>
          <w:lang w:val="en-GB"/>
        </w:rPr>
        <w:t>Interrelations between environment, mobility, and conflict</w:t>
      </w:r>
    </w:p>
    <w:p w14:paraId="01E3F95D" w14:textId="77777777" w:rsidR="00B22988" w:rsidRPr="00B22988" w:rsidRDefault="00B22988" w:rsidP="00B22988">
      <w:pPr>
        <w:rPr>
          <w:b/>
          <w:bCs/>
        </w:rPr>
      </w:pPr>
      <w:r w:rsidRPr="00B22988">
        <w:rPr>
          <w:b/>
          <w:bCs/>
        </w:rPr>
        <w:t>4. Innovation, Technology, and Society</w:t>
      </w:r>
    </w:p>
    <w:p w14:paraId="21E20F32" w14:textId="77777777" w:rsidR="00B22988" w:rsidRPr="00B22988" w:rsidRDefault="00B22988" w:rsidP="00B22988">
      <w:pPr>
        <w:numPr>
          <w:ilvl w:val="0"/>
          <w:numId w:val="6"/>
        </w:numPr>
        <w:rPr>
          <w:lang w:val="en-GB"/>
        </w:rPr>
      </w:pPr>
      <w:r w:rsidRPr="00B22988">
        <w:rPr>
          <w:lang w:val="en-GB"/>
        </w:rPr>
        <w:t>Digitalisation and inclusion in southern and eastern contexts</w:t>
      </w:r>
    </w:p>
    <w:p w14:paraId="786DC3A9" w14:textId="77777777" w:rsidR="00B22988" w:rsidRPr="00B22988" w:rsidRDefault="00B22988" w:rsidP="00B22988">
      <w:pPr>
        <w:numPr>
          <w:ilvl w:val="0"/>
          <w:numId w:val="6"/>
        </w:numPr>
      </w:pPr>
      <w:r w:rsidRPr="00B22988">
        <w:t xml:space="preserve">Appropriate </w:t>
      </w:r>
      <w:proofErr w:type="spellStart"/>
      <w:r w:rsidRPr="00B22988">
        <w:t>technologies</w:t>
      </w:r>
      <w:proofErr w:type="spellEnd"/>
      <w:r w:rsidRPr="00B22988">
        <w:t xml:space="preserve"> and social </w:t>
      </w:r>
      <w:proofErr w:type="spellStart"/>
      <w:r w:rsidRPr="00B22988">
        <w:t>innovation</w:t>
      </w:r>
      <w:proofErr w:type="spellEnd"/>
    </w:p>
    <w:p w14:paraId="25F81AB7" w14:textId="77777777" w:rsidR="00B22988" w:rsidRPr="00B22988" w:rsidRDefault="00B22988" w:rsidP="00B22988">
      <w:pPr>
        <w:numPr>
          <w:ilvl w:val="0"/>
          <w:numId w:val="6"/>
        </w:numPr>
        <w:rPr>
          <w:lang w:val="en-GB"/>
        </w:rPr>
      </w:pPr>
      <w:r w:rsidRPr="00B22988">
        <w:rPr>
          <w:lang w:val="en-GB"/>
        </w:rPr>
        <w:t>The role of digital platforms and local networks</w:t>
      </w:r>
    </w:p>
    <w:p w14:paraId="3A259CBF" w14:textId="77777777" w:rsidR="00B22988" w:rsidRPr="00B22988" w:rsidRDefault="00B22988" w:rsidP="00B22988">
      <w:pPr>
        <w:rPr>
          <w:b/>
          <w:bCs/>
        </w:rPr>
      </w:pPr>
      <w:r w:rsidRPr="00B22988">
        <w:rPr>
          <w:b/>
          <w:bCs/>
        </w:rPr>
        <w:t xml:space="preserve">5. Governance, </w:t>
      </w:r>
      <w:proofErr w:type="spellStart"/>
      <w:r w:rsidRPr="00B22988">
        <w:rPr>
          <w:b/>
          <w:bCs/>
        </w:rPr>
        <w:t>Cooperation</w:t>
      </w:r>
      <w:proofErr w:type="spellEnd"/>
      <w:r w:rsidRPr="00B22988">
        <w:rPr>
          <w:b/>
          <w:bCs/>
        </w:rPr>
        <w:t>, and Mediterranean Relations</w:t>
      </w:r>
    </w:p>
    <w:p w14:paraId="4FFB230D" w14:textId="77777777" w:rsidR="00B22988" w:rsidRPr="00B22988" w:rsidRDefault="00B22988" w:rsidP="00B22988">
      <w:pPr>
        <w:numPr>
          <w:ilvl w:val="0"/>
          <w:numId w:val="7"/>
        </w:numPr>
      </w:pPr>
      <w:r w:rsidRPr="00B22988">
        <w:t xml:space="preserve">Local and </w:t>
      </w:r>
      <w:proofErr w:type="spellStart"/>
      <w:r w:rsidRPr="00B22988">
        <w:t>regional</w:t>
      </w:r>
      <w:proofErr w:type="spellEnd"/>
      <w:r w:rsidRPr="00B22988">
        <w:t xml:space="preserve"> governance models</w:t>
      </w:r>
    </w:p>
    <w:p w14:paraId="707C977D" w14:textId="77777777" w:rsidR="00B22988" w:rsidRPr="00B22988" w:rsidRDefault="00B22988" w:rsidP="00B22988">
      <w:pPr>
        <w:numPr>
          <w:ilvl w:val="0"/>
          <w:numId w:val="7"/>
        </w:numPr>
        <w:rPr>
          <w:lang w:val="en-GB"/>
        </w:rPr>
      </w:pPr>
      <w:r w:rsidRPr="00B22988">
        <w:rPr>
          <w:lang w:val="en-GB"/>
        </w:rPr>
        <w:t>South–South cooperation and emerging geographies of collaboration</w:t>
      </w:r>
    </w:p>
    <w:p w14:paraId="76CC9A95" w14:textId="77777777" w:rsidR="00B22988" w:rsidRPr="00B22988" w:rsidRDefault="00B22988" w:rsidP="00B22988">
      <w:pPr>
        <w:numPr>
          <w:ilvl w:val="0"/>
          <w:numId w:val="7"/>
        </w:numPr>
        <w:rPr>
          <w:lang w:val="en-GB"/>
        </w:rPr>
      </w:pPr>
      <w:r w:rsidRPr="00B22988">
        <w:rPr>
          <w:lang w:val="en-GB"/>
        </w:rPr>
        <w:t>The role of regional and international institutions</w:t>
      </w:r>
    </w:p>
    <w:p w14:paraId="22532FDB" w14:textId="77777777" w:rsidR="00B22988" w:rsidRPr="00B22988" w:rsidRDefault="00B22988" w:rsidP="00B22988">
      <w:pPr>
        <w:rPr>
          <w:b/>
          <w:bCs/>
        </w:rPr>
      </w:pPr>
      <w:r w:rsidRPr="00B22988">
        <w:rPr>
          <w:b/>
          <w:bCs/>
        </w:rPr>
        <w:t xml:space="preserve">6. </w:t>
      </w:r>
      <w:proofErr w:type="spellStart"/>
      <w:r w:rsidRPr="00B22988">
        <w:rPr>
          <w:b/>
          <w:bCs/>
        </w:rPr>
        <w:t>Plural</w:t>
      </w:r>
      <w:proofErr w:type="spellEnd"/>
      <w:r w:rsidRPr="00B22988">
        <w:rPr>
          <w:b/>
          <w:bCs/>
        </w:rPr>
        <w:t xml:space="preserve"> Mediterranean Futures</w:t>
      </w:r>
    </w:p>
    <w:p w14:paraId="6C5FA36C" w14:textId="77777777" w:rsidR="00B22988" w:rsidRPr="00B22988" w:rsidRDefault="00B22988" w:rsidP="00B22988">
      <w:pPr>
        <w:numPr>
          <w:ilvl w:val="0"/>
          <w:numId w:val="8"/>
        </w:numPr>
      </w:pPr>
      <w:r w:rsidRPr="00B22988">
        <w:t xml:space="preserve">Alternative </w:t>
      </w:r>
      <w:proofErr w:type="spellStart"/>
      <w:r w:rsidRPr="00B22988">
        <w:t>development</w:t>
      </w:r>
      <w:proofErr w:type="spellEnd"/>
      <w:r w:rsidRPr="00B22988">
        <w:t xml:space="preserve"> </w:t>
      </w:r>
      <w:proofErr w:type="spellStart"/>
      <w:r w:rsidRPr="00B22988">
        <w:t>scenarios</w:t>
      </w:r>
      <w:proofErr w:type="spellEnd"/>
    </w:p>
    <w:p w14:paraId="2C0D4F49" w14:textId="77777777" w:rsidR="00B22988" w:rsidRPr="00B22988" w:rsidRDefault="00B22988" w:rsidP="00B22988">
      <w:pPr>
        <w:numPr>
          <w:ilvl w:val="0"/>
          <w:numId w:val="8"/>
        </w:numPr>
      </w:pPr>
      <w:r w:rsidRPr="00B22988">
        <w:t xml:space="preserve">Youth, culture, and social </w:t>
      </w:r>
      <w:proofErr w:type="spellStart"/>
      <w:r w:rsidRPr="00B22988">
        <w:t>transformation</w:t>
      </w:r>
      <w:proofErr w:type="spellEnd"/>
    </w:p>
    <w:p w14:paraId="15A77079" w14:textId="77777777" w:rsidR="00B22988" w:rsidRPr="00B22988" w:rsidRDefault="00B22988" w:rsidP="00B22988">
      <w:pPr>
        <w:numPr>
          <w:ilvl w:val="0"/>
          <w:numId w:val="8"/>
        </w:numPr>
        <w:rPr>
          <w:lang w:val="en-GB"/>
        </w:rPr>
      </w:pPr>
      <w:r w:rsidRPr="00B22988">
        <w:rPr>
          <w:lang w:val="en-GB"/>
        </w:rPr>
        <w:t>Visions of the future from the Arab and Middle Eastern world</w:t>
      </w:r>
    </w:p>
    <w:p w14:paraId="53929A56" w14:textId="5F249486" w:rsidR="00B22988" w:rsidRPr="002F3D61" w:rsidRDefault="00B22988" w:rsidP="00B22988">
      <w:pPr>
        <w:rPr>
          <w:lang w:val="en-GB"/>
        </w:rPr>
      </w:pPr>
    </w:p>
    <w:p w14:paraId="3A37C0EA" w14:textId="77777777" w:rsidR="00B22988" w:rsidRPr="00B22988" w:rsidRDefault="00B22988" w:rsidP="00B22988">
      <w:pPr>
        <w:rPr>
          <w:b/>
          <w:bCs/>
          <w:lang w:val="en-GB"/>
        </w:rPr>
      </w:pPr>
      <w:r w:rsidRPr="00B22988">
        <w:rPr>
          <w:b/>
          <w:bCs/>
          <w:lang w:val="en-GB"/>
        </w:rPr>
        <w:t>Submission Guidelines</w:t>
      </w:r>
    </w:p>
    <w:p w14:paraId="07F0AB86" w14:textId="77777777" w:rsidR="00B22988" w:rsidRPr="00B22988" w:rsidRDefault="00B22988" w:rsidP="00B22988">
      <w:pPr>
        <w:rPr>
          <w:lang w:val="en-GB"/>
        </w:rPr>
      </w:pPr>
      <w:r w:rsidRPr="00B22988">
        <w:rPr>
          <w:lang w:val="en-GB"/>
        </w:rPr>
        <w:t>Contributions are accepted in Arabic (with an optional English abstract) or in English, with openness to bilingual submissions.</w:t>
      </w:r>
    </w:p>
    <w:p w14:paraId="36F0F757" w14:textId="77777777" w:rsidR="00B22988" w:rsidRPr="00B22988" w:rsidRDefault="00B22988" w:rsidP="00B22988">
      <w:pPr>
        <w:rPr>
          <w:b/>
          <w:bCs/>
        </w:rPr>
      </w:pPr>
      <w:r w:rsidRPr="00B22988">
        <w:rPr>
          <w:b/>
          <w:bCs/>
        </w:rPr>
        <w:lastRenderedPageBreak/>
        <w:t>Abstract</w:t>
      </w:r>
    </w:p>
    <w:p w14:paraId="554D9F45" w14:textId="77777777" w:rsidR="00B22988" w:rsidRPr="00B22988" w:rsidRDefault="00B22988" w:rsidP="00B22988">
      <w:pPr>
        <w:numPr>
          <w:ilvl w:val="0"/>
          <w:numId w:val="9"/>
        </w:numPr>
      </w:pPr>
      <w:r w:rsidRPr="00B22988">
        <w:t xml:space="preserve">Maximum </w:t>
      </w:r>
      <w:proofErr w:type="spellStart"/>
      <w:r w:rsidRPr="00B22988">
        <w:t>length</w:t>
      </w:r>
      <w:proofErr w:type="spellEnd"/>
      <w:r w:rsidRPr="00B22988">
        <w:t>: 500 words</w:t>
      </w:r>
    </w:p>
    <w:p w14:paraId="1DE3EBAA" w14:textId="77777777" w:rsidR="00B22988" w:rsidRPr="00B22988" w:rsidRDefault="00B22988" w:rsidP="00B22988">
      <w:pPr>
        <w:numPr>
          <w:ilvl w:val="0"/>
          <w:numId w:val="9"/>
        </w:numPr>
        <w:rPr>
          <w:lang w:val="en-GB"/>
        </w:rPr>
      </w:pPr>
      <w:r w:rsidRPr="00B22988">
        <w:rPr>
          <w:lang w:val="en-GB"/>
        </w:rPr>
        <w:t>Structure: objectives – methodology – expected results – originality – implications</w:t>
      </w:r>
    </w:p>
    <w:p w14:paraId="4BD4AB2E" w14:textId="77777777" w:rsidR="00B22988" w:rsidRPr="00B22988" w:rsidRDefault="00B22988" w:rsidP="00B22988">
      <w:pPr>
        <w:rPr>
          <w:b/>
          <w:bCs/>
        </w:rPr>
      </w:pPr>
      <w:r w:rsidRPr="00B22988">
        <w:rPr>
          <w:b/>
          <w:bCs/>
        </w:rPr>
        <w:t xml:space="preserve">Author </w:t>
      </w:r>
      <w:proofErr w:type="spellStart"/>
      <w:r w:rsidRPr="00B22988">
        <w:rPr>
          <w:b/>
          <w:bCs/>
        </w:rPr>
        <w:t>Profile</w:t>
      </w:r>
      <w:proofErr w:type="spellEnd"/>
    </w:p>
    <w:p w14:paraId="38B7D60F" w14:textId="77777777" w:rsidR="00B22988" w:rsidRPr="00B22988" w:rsidRDefault="00B22988" w:rsidP="00B22988">
      <w:pPr>
        <w:numPr>
          <w:ilvl w:val="0"/>
          <w:numId w:val="10"/>
        </w:numPr>
      </w:pPr>
      <w:r w:rsidRPr="00B22988">
        <w:t xml:space="preserve">Maximum </w:t>
      </w:r>
      <w:proofErr w:type="spellStart"/>
      <w:r w:rsidRPr="00B22988">
        <w:t>length</w:t>
      </w:r>
      <w:proofErr w:type="spellEnd"/>
      <w:r w:rsidRPr="00B22988">
        <w:t>: 100 words</w:t>
      </w:r>
    </w:p>
    <w:p w14:paraId="7F9BC8D3" w14:textId="77777777" w:rsidR="00B22988" w:rsidRPr="00B22988" w:rsidRDefault="00B22988" w:rsidP="00B22988">
      <w:pPr>
        <w:rPr>
          <w:b/>
          <w:bCs/>
        </w:rPr>
      </w:pPr>
      <w:r w:rsidRPr="00B22988">
        <w:rPr>
          <w:b/>
          <w:bCs/>
        </w:rPr>
        <w:t xml:space="preserve">Full </w:t>
      </w:r>
      <w:proofErr w:type="spellStart"/>
      <w:r w:rsidRPr="00B22988">
        <w:rPr>
          <w:b/>
          <w:bCs/>
        </w:rPr>
        <w:t>Chapter</w:t>
      </w:r>
      <w:proofErr w:type="spellEnd"/>
    </w:p>
    <w:p w14:paraId="16743C84" w14:textId="77777777" w:rsidR="00B22988" w:rsidRPr="00B22988" w:rsidRDefault="00B22988" w:rsidP="00B22988">
      <w:pPr>
        <w:numPr>
          <w:ilvl w:val="0"/>
          <w:numId w:val="11"/>
        </w:numPr>
      </w:pPr>
      <w:r w:rsidRPr="00B22988">
        <w:t xml:space="preserve">Maximum </w:t>
      </w:r>
      <w:proofErr w:type="spellStart"/>
      <w:r w:rsidRPr="00B22988">
        <w:t>length</w:t>
      </w:r>
      <w:proofErr w:type="spellEnd"/>
      <w:r w:rsidRPr="00B22988">
        <w:t>: 7,000 words</w:t>
      </w:r>
    </w:p>
    <w:p w14:paraId="04426328" w14:textId="77777777" w:rsidR="00B22988" w:rsidRPr="00B22988" w:rsidRDefault="00B22988" w:rsidP="00B22988">
      <w:pPr>
        <w:numPr>
          <w:ilvl w:val="0"/>
          <w:numId w:val="11"/>
        </w:numPr>
      </w:pPr>
      <w:proofErr w:type="spellStart"/>
      <w:r w:rsidRPr="00B22988">
        <w:t>Structure</w:t>
      </w:r>
      <w:proofErr w:type="spellEnd"/>
      <w:r w:rsidRPr="00B22988">
        <w:t xml:space="preserve">: </w:t>
      </w:r>
      <w:proofErr w:type="spellStart"/>
      <w:r w:rsidRPr="00B22988">
        <w:t>Introduction</w:t>
      </w:r>
      <w:proofErr w:type="spellEnd"/>
      <w:r w:rsidRPr="00B22988">
        <w:t xml:space="preserve"> – </w:t>
      </w:r>
      <w:proofErr w:type="spellStart"/>
      <w:r w:rsidRPr="00B22988">
        <w:t>Methodology</w:t>
      </w:r>
      <w:proofErr w:type="spellEnd"/>
      <w:r w:rsidRPr="00B22988">
        <w:t xml:space="preserve"> – Analysis – </w:t>
      </w:r>
      <w:proofErr w:type="spellStart"/>
      <w:r w:rsidRPr="00B22988">
        <w:t>Conclusions</w:t>
      </w:r>
      <w:proofErr w:type="spellEnd"/>
    </w:p>
    <w:p w14:paraId="01E2A8C9" w14:textId="77777777" w:rsidR="00B22988" w:rsidRPr="00B22988" w:rsidRDefault="00B22988" w:rsidP="00B22988">
      <w:pPr>
        <w:rPr>
          <w:lang w:val="en-GB"/>
        </w:rPr>
      </w:pPr>
      <w:r w:rsidRPr="00B22988">
        <w:rPr>
          <w:lang w:val="en-GB"/>
        </w:rPr>
        <w:t>All contributions will undergo a double-blind peer review process.</w:t>
      </w:r>
      <w:r w:rsidRPr="00B22988">
        <w:rPr>
          <w:lang w:val="en-GB"/>
        </w:rPr>
        <w:br/>
        <w:t>Acceptance of the abstract does not guarantee publication of the final chapter.</w:t>
      </w:r>
    </w:p>
    <w:p w14:paraId="6F71E3C9" w14:textId="1962C34E" w:rsidR="00B22988" w:rsidRPr="002F3D61" w:rsidRDefault="00B22988" w:rsidP="00B22988">
      <w:pPr>
        <w:rPr>
          <w:lang w:val="en-GB"/>
        </w:rPr>
      </w:pPr>
    </w:p>
    <w:p w14:paraId="7F3C7BC5" w14:textId="77777777" w:rsidR="00B22988" w:rsidRPr="00B22988" w:rsidRDefault="00B22988" w:rsidP="00B22988">
      <w:pPr>
        <w:rPr>
          <w:b/>
          <w:bCs/>
        </w:rPr>
      </w:pPr>
      <w:r w:rsidRPr="00B22988">
        <w:rPr>
          <w:b/>
          <w:bCs/>
        </w:rPr>
        <w:t>Deadlines</w:t>
      </w:r>
    </w:p>
    <w:p w14:paraId="4E653F1C" w14:textId="70A997B0" w:rsidR="00B22988" w:rsidRPr="00B22988" w:rsidRDefault="00B22988" w:rsidP="00B22988">
      <w:pPr>
        <w:numPr>
          <w:ilvl w:val="0"/>
          <w:numId w:val="12"/>
        </w:numPr>
      </w:pPr>
      <w:r>
        <w:t>30</w:t>
      </w:r>
      <w:r w:rsidRPr="00B22988">
        <w:t xml:space="preserve"> May 2026 – Abstract </w:t>
      </w:r>
      <w:proofErr w:type="spellStart"/>
      <w:r w:rsidRPr="00B22988">
        <w:t>submission</w:t>
      </w:r>
      <w:proofErr w:type="spellEnd"/>
    </w:p>
    <w:p w14:paraId="1D32E978" w14:textId="2DFEF222" w:rsidR="00B22988" w:rsidRPr="00B22988" w:rsidRDefault="00B22988" w:rsidP="00B22988">
      <w:pPr>
        <w:numPr>
          <w:ilvl w:val="0"/>
          <w:numId w:val="12"/>
        </w:numPr>
      </w:pPr>
      <w:r>
        <w:t>10</w:t>
      </w:r>
      <w:r w:rsidRPr="00B22988">
        <w:t xml:space="preserve"> </w:t>
      </w:r>
      <w:r>
        <w:t>June</w:t>
      </w:r>
      <w:r w:rsidRPr="00B22988">
        <w:t xml:space="preserve"> 2026 – Notification of </w:t>
      </w:r>
      <w:proofErr w:type="spellStart"/>
      <w:r w:rsidRPr="00B22988">
        <w:t>acceptance</w:t>
      </w:r>
      <w:proofErr w:type="spellEnd"/>
    </w:p>
    <w:p w14:paraId="45336155" w14:textId="77777777" w:rsidR="00B22988" w:rsidRPr="00B22988" w:rsidRDefault="00B22988" w:rsidP="00B22988">
      <w:pPr>
        <w:numPr>
          <w:ilvl w:val="0"/>
          <w:numId w:val="12"/>
        </w:numPr>
      </w:pPr>
      <w:r w:rsidRPr="00B22988">
        <w:t xml:space="preserve">30 July 2026 – Full </w:t>
      </w:r>
      <w:proofErr w:type="spellStart"/>
      <w:r w:rsidRPr="00B22988">
        <w:t>chapter</w:t>
      </w:r>
      <w:proofErr w:type="spellEnd"/>
      <w:r w:rsidRPr="00B22988">
        <w:t xml:space="preserve"> </w:t>
      </w:r>
      <w:proofErr w:type="spellStart"/>
      <w:r w:rsidRPr="00B22988">
        <w:t>submission</w:t>
      </w:r>
      <w:proofErr w:type="spellEnd"/>
    </w:p>
    <w:p w14:paraId="5F29D152" w14:textId="77777777" w:rsidR="00B22988" w:rsidRPr="00B22988" w:rsidRDefault="00B22988" w:rsidP="00B22988">
      <w:pPr>
        <w:numPr>
          <w:ilvl w:val="0"/>
          <w:numId w:val="12"/>
        </w:numPr>
      </w:pPr>
      <w:r w:rsidRPr="00B22988">
        <w:t xml:space="preserve">30 August 2026 – Peer review </w:t>
      </w:r>
      <w:proofErr w:type="spellStart"/>
      <w:r w:rsidRPr="00B22988">
        <w:t>outcome</w:t>
      </w:r>
      <w:proofErr w:type="spellEnd"/>
    </w:p>
    <w:p w14:paraId="62500FA7" w14:textId="77777777" w:rsidR="00B22988" w:rsidRPr="00B22988" w:rsidRDefault="00B22988" w:rsidP="00B22988">
      <w:pPr>
        <w:numPr>
          <w:ilvl w:val="0"/>
          <w:numId w:val="12"/>
        </w:numPr>
      </w:pPr>
      <w:r w:rsidRPr="00B22988">
        <w:t xml:space="preserve">30 September 2026 – </w:t>
      </w:r>
      <w:proofErr w:type="spellStart"/>
      <w:r w:rsidRPr="00B22988">
        <w:t>Final</w:t>
      </w:r>
      <w:proofErr w:type="spellEnd"/>
      <w:r w:rsidRPr="00B22988">
        <w:t xml:space="preserve"> </w:t>
      </w:r>
      <w:proofErr w:type="spellStart"/>
      <w:r w:rsidRPr="00B22988">
        <w:t>version</w:t>
      </w:r>
      <w:proofErr w:type="spellEnd"/>
    </w:p>
    <w:p w14:paraId="347563D8" w14:textId="77777777" w:rsidR="00B22988" w:rsidRPr="00B22988" w:rsidRDefault="00B22988" w:rsidP="00B22988">
      <w:pPr>
        <w:numPr>
          <w:ilvl w:val="0"/>
          <w:numId w:val="12"/>
        </w:numPr>
      </w:pPr>
      <w:r w:rsidRPr="00B22988">
        <w:t xml:space="preserve">December 2026 – Volume </w:t>
      </w:r>
      <w:proofErr w:type="spellStart"/>
      <w:r w:rsidRPr="00B22988">
        <w:t>publication</w:t>
      </w:r>
      <w:proofErr w:type="spellEnd"/>
    </w:p>
    <w:p w14:paraId="168417B5" w14:textId="7CEB4D04" w:rsidR="00B22988" w:rsidRPr="00B22988" w:rsidRDefault="00B22988" w:rsidP="00B22988"/>
    <w:p w14:paraId="648E441B" w14:textId="77777777" w:rsidR="00B22988" w:rsidRPr="00B22988" w:rsidRDefault="00B22988" w:rsidP="00B22988">
      <w:pPr>
        <w:rPr>
          <w:b/>
          <w:bCs/>
          <w:lang w:val="en-GB"/>
        </w:rPr>
      </w:pPr>
      <w:r w:rsidRPr="00B22988">
        <w:rPr>
          <w:b/>
          <w:bCs/>
          <w:lang w:val="en-GB"/>
        </w:rPr>
        <w:t>Selection Criteria</w:t>
      </w:r>
    </w:p>
    <w:p w14:paraId="40D7B958" w14:textId="77777777" w:rsidR="00B22988" w:rsidRPr="00B22988" w:rsidRDefault="00B22988" w:rsidP="00B22988">
      <w:pPr>
        <w:rPr>
          <w:lang w:val="en-GB"/>
        </w:rPr>
      </w:pPr>
      <w:r w:rsidRPr="00B22988">
        <w:rPr>
          <w:lang w:val="en-GB"/>
        </w:rPr>
        <w:t>Preference will be given to contributions that:</w:t>
      </w:r>
    </w:p>
    <w:p w14:paraId="2EEE3046" w14:textId="77777777" w:rsidR="00B22988" w:rsidRPr="00B22988" w:rsidRDefault="00B22988" w:rsidP="00B22988">
      <w:pPr>
        <w:numPr>
          <w:ilvl w:val="0"/>
          <w:numId w:val="13"/>
        </w:numPr>
        <w:rPr>
          <w:lang w:val="en-GB"/>
        </w:rPr>
      </w:pPr>
      <w:r w:rsidRPr="00B22988">
        <w:rPr>
          <w:lang w:val="en-GB"/>
        </w:rPr>
        <w:t>emphasise local and regional perspectives from the southern and eastern shores;</w:t>
      </w:r>
    </w:p>
    <w:p w14:paraId="02BEB5F7" w14:textId="77777777" w:rsidR="00B22988" w:rsidRPr="00B22988" w:rsidRDefault="00B22988" w:rsidP="00B22988">
      <w:pPr>
        <w:numPr>
          <w:ilvl w:val="0"/>
          <w:numId w:val="13"/>
        </w:numPr>
        <w:rPr>
          <w:lang w:val="en-GB"/>
        </w:rPr>
      </w:pPr>
      <w:r w:rsidRPr="00B22988">
        <w:rPr>
          <w:lang w:val="en-GB"/>
        </w:rPr>
        <w:t>offer innovative and interdisciplinary approaches;</w:t>
      </w:r>
    </w:p>
    <w:p w14:paraId="6957719C" w14:textId="77777777" w:rsidR="00B22988" w:rsidRPr="00B22988" w:rsidRDefault="00B22988" w:rsidP="00B22988">
      <w:pPr>
        <w:numPr>
          <w:ilvl w:val="0"/>
          <w:numId w:val="13"/>
        </w:numPr>
        <w:rPr>
          <w:lang w:val="en-GB"/>
        </w:rPr>
      </w:pPr>
      <w:r w:rsidRPr="00B22988">
        <w:rPr>
          <w:lang w:val="en-GB"/>
        </w:rPr>
        <w:t>contribute to rebalancing the Mediterranean debate;</w:t>
      </w:r>
    </w:p>
    <w:p w14:paraId="5AAE664F" w14:textId="77777777" w:rsidR="00B22988" w:rsidRPr="00B22988" w:rsidRDefault="00B22988" w:rsidP="00B22988">
      <w:pPr>
        <w:numPr>
          <w:ilvl w:val="0"/>
          <w:numId w:val="13"/>
        </w:numPr>
        <w:rPr>
          <w:lang w:val="en-GB"/>
        </w:rPr>
      </w:pPr>
      <w:r w:rsidRPr="00B22988">
        <w:rPr>
          <w:lang w:val="en-GB"/>
        </w:rPr>
        <w:t>provide empirical analysis and policy implications;</w:t>
      </w:r>
    </w:p>
    <w:p w14:paraId="6F97C01C" w14:textId="77777777" w:rsidR="00B22988" w:rsidRPr="00B22988" w:rsidRDefault="00B22988" w:rsidP="00B22988">
      <w:pPr>
        <w:numPr>
          <w:ilvl w:val="0"/>
          <w:numId w:val="13"/>
        </w:numPr>
        <w:rPr>
          <w:lang w:val="en-GB"/>
        </w:rPr>
      </w:pPr>
      <w:r w:rsidRPr="00B22988">
        <w:rPr>
          <w:lang w:val="en-GB"/>
        </w:rPr>
        <w:t>promote collaboration among institutions and researchers from the South and East.</w:t>
      </w:r>
    </w:p>
    <w:p w14:paraId="2BB1E317" w14:textId="69F68FCE" w:rsidR="00B22988" w:rsidRPr="002F3D61" w:rsidRDefault="00B22988" w:rsidP="00B22988">
      <w:pPr>
        <w:rPr>
          <w:lang w:val="en-GB"/>
        </w:rPr>
      </w:pPr>
    </w:p>
    <w:p w14:paraId="6261B901" w14:textId="77777777" w:rsidR="00B22988" w:rsidRPr="00B22988" w:rsidRDefault="00B22988" w:rsidP="00B22988">
      <w:pPr>
        <w:rPr>
          <w:b/>
          <w:bCs/>
          <w:lang w:val="en-GB"/>
        </w:rPr>
      </w:pPr>
      <w:r w:rsidRPr="00B22988">
        <w:rPr>
          <w:b/>
          <w:bCs/>
          <w:lang w:val="en-GB"/>
        </w:rPr>
        <w:t>Expected Outputs</w:t>
      </w:r>
    </w:p>
    <w:p w14:paraId="5A03386C" w14:textId="77777777" w:rsidR="00B22988" w:rsidRPr="00B22988" w:rsidRDefault="00B22988" w:rsidP="00B22988">
      <w:pPr>
        <w:rPr>
          <w:lang w:val="en-GB"/>
        </w:rPr>
      </w:pPr>
      <w:r w:rsidRPr="00B22988">
        <w:rPr>
          <w:lang w:val="en-GB"/>
        </w:rPr>
        <w:t>In addition to the scientific volume, the project foresees:</w:t>
      </w:r>
    </w:p>
    <w:p w14:paraId="48987800" w14:textId="77777777" w:rsidR="00B22988" w:rsidRPr="00B22988" w:rsidRDefault="00B22988" w:rsidP="00B22988">
      <w:pPr>
        <w:numPr>
          <w:ilvl w:val="0"/>
          <w:numId w:val="14"/>
        </w:numPr>
      </w:pPr>
      <w:proofErr w:type="spellStart"/>
      <w:r w:rsidRPr="00B22988">
        <w:t>publication</w:t>
      </w:r>
      <w:proofErr w:type="spellEnd"/>
      <w:r w:rsidRPr="00B22988">
        <w:t xml:space="preserve"> of policy briefs;</w:t>
      </w:r>
    </w:p>
    <w:p w14:paraId="1C408001" w14:textId="77777777" w:rsidR="00B22988" w:rsidRPr="00B22988" w:rsidRDefault="00B22988" w:rsidP="00B22988">
      <w:pPr>
        <w:numPr>
          <w:ilvl w:val="0"/>
          <w:numId w:val="14"/>
        </w:numPr>
        <w:rPr>
          <w:lang w:val="en-GB"/>
        </w:rPr>
      </w:pPr>
      <w:r w:rsidRPr="00B22988">
        <w:rPr>
          <w:lang w:val="en-GB"/>
        </w:rPr>
        <w:t>organisation of workshops and roundtables across the Mediterranean;</w:t>
      </w:r>
    </w:p>
    <w:p w14:paraId="717B5E55" w14:textId="77777777" w:rsidR="00B22988" w:rsidRPr="00B22988" w:rsidRDefault="00B22988" w:rsidP="00B22988">
      <w:pPr>
        <w:numPr>
          <w:ilvl w:val="0"/>
          <w:numId w:val="14"/>
        </w:numPr>
        <w:rPr>
          <w:lang w:val="en-GB"/>
        </w:rPr>
      </w:pPr>
      <w:r w:rsidRPr="00B22988">
        <w:rPr>
          <w:lang w:val="en-GB"/>
        </w:rPr>
        <w:t>dissemination events involving institutional and academic stakeholders.</w:t>
      </w:r>
    </w:p>
    <w:p w14:paraId="24DED705" w14:textId="32F7CDB2" w:rsidR="00B22988" w:rsidRPr="002F3D61" w:rsidRDefault="00B22988" w:rsidP="00B22988">
      <w:pPr>
        <w:rPr>
          <w:lang w:val="en-GB"/>
        </w:rPr>
      </w:pPr>
    </w:p>
    <w:p w14:paraId="13EBA346" w14:textId="77777777" w:rsidR="00B22988" w:rsidRPr="002F3D61" w:rsidRDefault="00B22988" w:rsidP="00B22988">
      <w:pPr>
        <w:rPr>
          <w:b/>
          <w:bCs/>
          <w:lang w:val="en-GB"/>
        </w:rPr>
      </w:pPr>
      <w:r w:rsidRPr="002F3D61">
        <w:rPr>
          <w:b/>
          <w:bCs/>
          <w:lang w:val="en-GB"/>
        </w:rPr>
        <w:t>Scientific and Editorial Coordination</w:t>
      </w:r>
    </w:p>
    <w:p w14:paraId="51E380B5" w14:textId="77777777" w:rsidR="00B22988" w:rsidRPr="002F3D61" w:rsidRDefault="00B22988" w:rsidP="00B22988">
      <w:pPr>
        <w:rPr>
          <w:lang w:val="en-GB"/>
        </w:rPr>
      </w:pPr>
      <w:r w:rsidRPr="002F3D61">
        <w:rPr>
          <w:b/>
          <w:bCs/>
          <w:lang w:val="en-GB"/>
        </w:rPr>
        <w:t>Scientific Directors</w:t>
      </w:r>
      <w:r w:rsidRPr="002F3D61">
        <w:rPr>
          <w:lang w:val="en-GB"/>
        </w:rPr>
        <w:br/>
        <w:t>Salvatore Capasso – CNR-DSU</w:t>
      </w:r>
      <w:r w:rsidRPr="002F3D61">
        <w:rPr>
          <w:lang w:val="en-GB"/>
        </w:rPr>
        <w:br/>
        <w:t>Giovanni Canitano – CNR-ISMed</w:t>
      </w:r>
      <w:r w:rsidRPr="002F3D61">
        <w:rPr>
          <w:lang w:val="en-GB"/>
        </w:rPr>
        <w:br/>
        <w:t>Ouafae Nahli – CNR-ILC</w:t>
      </w:r>
    </w:p>
    <w:p w14:paraId="1FCD7626" w14:textId="77777777" w:rsidR="00B22988" w:rsidRPr="002F3D61" w:rsidRDefault="00B22988" w:rsidP="00B22988">
      <w:pPr>
        <w:rPr>
          <w:lang w:val="en-GB"/>
        </w:rPr>
      </w:pPr>
      <w:r w:rsidRPr="002F3D61">
        <w:rPr>
          <w:b/>
          <w:bCs/>
          <w:lang w:val="en-GB"/>
        </w:rPr>
        <w:t>Publisher:</w:t>
      </w:r>
      <w:r w:rsidRPr="002F3D61">
        <w:rPr>
          <w:lang w:val="en-GB"/>
        </w:rPr>
        <w:t xml:space="preserve"> Il Mulino – </w:t>
      </w:r>
      <w:r w:rsidRPr="002F3D61">
        <w:rPr>
          <w:i/>
          <w:iCs/>
          <w:lang w:val="en-GB"/>
        </w:rPr>
        <w:t>Mediterranean Economies</w:t>
      </w:r>
      <w:r w:rsidRPr="002F3D61">
        <w:rPr>
          <w:lang w:val="en-GB"/>
        </w:rPr>
        <w:t xml:space="preserve"> series (alternatively CNR Edizioni)</w:t>
      </w:r>
    </w:p>
    <w:p w14:paraId="283A53D7" w14:textId="679AE2CE" w:rsidR="00B22988" w:rsidRPr="002F3D61" w:rsidRDefault="00B22988" w:rsidP="00B22988">
      <w:pPr>
        <w:rPr>
          <w:lang w:val="en-GB"/>
        </w:rPr>
      </w:pPr>
    </w:p>
    <w:p w14:paraId="60AF363F" w14:textId="77777777" w:rsidR="00B22988" w:rsidRPr="00B22988" w:rsidRDefault="00B22988" w:rsidP="00B22988">
      <w:pPr>
        <w:rPr>
          <w:b/>
          <w:bCs/>
          <w:lang w:val="en-GB"/>
        </w:rPr>
      </w:pPr>
      <w:r w:rsidRPr="00B22988">
        <w:rPr>
          <w:b/>
          <w:bCs/>
          <w:lang w:val="en-GB"/>
        </w:rPr>
        <w:t>Contact</w:t>
      </w:r>
    </w:p>
    <w:p w14:paraId="3CC0F23E" w14:textId="77777777" w:rsidR="00B22988" w:rsidRPr="00B22988" w:rsidRDefault="00B22988" w:rsidP="00B22988">
      <w:pPr>
        <w:rPr>
          <w:lang w:val="en-GB"/>
        </w:rPr>
      </w:pPr>
      <w:r w:rsidRPr="00B22988">
        <w:rPr>
          <w:lang w:val="en-GB"/>
        </w:rPr>
        <w:t>For information and submissions:</w:t>
      </w:r>
      <w:r w:rsidRPr="00B22988">
        <w:rPr>
          <w:lang w:val="en-GB"/>
        </w:rPr>
        <w:br/>
      </w:r>
      <w:r w:rsidRPr="00B22988">
        <w:rPr>
          <w:rFonts w:ascii="Segoe UI Emoji" w:hAnsi="Segoe UI Emoji" w:cs="Segoe UI Emoji"/>
        </w:rPr>
        <w:t>📧</w:t>
      </w:r>
      <w:r w:rsidRPr="00B22988">
        <w:rPr>
          <w:lang w:val="en-GB"/>
        </w:rPr>
        <w:t xml:space="preserve"> </w:t>
      </w:r>
      <w:hyperlink r:id="rId5" w:history="1">
        <w:r w:rsidRPr="00B22988">
          <w:rPr>
            <w:rStyle w:val="Collegamentoipertestuale"/>
            <w:lang w:val="en-GB"/>
          </w:rPr>
          <w:t>mediterranean.economies@ismed.cnr.it</w:t>
        </w:r>
      </w:hyperlink>
    </w:p>
    <w:p w14:paraId="511A08D1" w14:textId="3BFBDB11" w:rsidR="00B22988" w:rsidRPr="002F3D61" w:rsidRDefault="00B22988" w:rsidP="00B22988">
      <w:pPr>
        <w:rPr>
          <w:lang w:val="en-GB"/>
        </w:rPr>
      </w:pPr>
    </w:p>
    <w:p w14:paraId="19AD5E91" w14:textId="77777777" w:rsidR="00456F94" w:rsidRPr="00B22988" w:rsidRDefault="00456F94">
      <w:pPr>
        <w:rPr>
          <w:lang w:val="en-GB"/>
        </w:rPr>
      </w:pPr>
    </w:p>
    <w:sectPr w:rsidR="00456F94" w:rsidRPr="00B229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D26"/>
    <w:multiLevelType w:val="multilevel"/>
    <w:tmpl w:val="D74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45129"/>
    <w:multiLevelType w:val="multilevel"/>
    <w:tmpl w:val="529A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53C49"/>
    <w:multiLevelType w:val="multilevel"/>
    <w:tmpl w:val="1FBE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42656"/>
    <w:multiLevelType w:val="multilevel"/>
    <w:tmpl w:val="F8A2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164E1"/>
    <w:multiLevelType w:val="multilevel"/>
    <w:tmpl w:val="A37A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C158C"/>
    <w:multiLevelType w:val="multilevel"/>
    <w:tmpl w:val="9622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941AA"/>
    <w:multiLevelType w:val="multilevel"/>
    <w:tmpl w:val="CD28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42C2B"/>
    <w:multiLevelType w:val="multilevel"/>
    <w:tmpl w:val="43EE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761A1"/>
    <w:multiLevelType w:val="multilevel"/>
    <w:tmpl w:val="3F64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350DB"/>
    <w:multiLevelType w:val="multilevel"/>
    <w:tmpl w:val="653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A4A9A"/>
    <w:multiLevelType w:val="multilevel"/>
    <w:tmpl w:val="98B0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5D1366"/>
    <w:multiLevelType w:val="multilevel"/>
    <w:tmpl w:val="B5B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65652"/>
    <w:multiLevelType w:val="multilevel"/>
    <w:tmpl w:val="B2C2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62B2C"/>
    <w:multiLevelType w:val="multilevel"/>
    <w:tmpl w:val="EF0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05563">
    <w:abstractNumId w:val="1"/>
  </w:num>
  <w:num w:numId="2" w16cid:durableId="359553593">
    <w:abstractNumId w:val="5"/>
  </w:num>
  <w:num w:numId="3" w16cid:durableId="1667896945">
    <w:abstractNumId w:val="0"/>
  </w:num>
  <w:num w:numId="4" w16cid:durableId="1941061764">
    <w:abstractNumId w:val="2"/>
  </w:num>
  <w:num w:numId="5" w16cid:durableId="152449936">
    <w:abstractNumId w:val="4"/>
  </w:num>
  <w:num w:numId="6" w16cid:durableId="2063945180">
    <w:abstractNumId w:val="10"/>
  </w:num>
  <w:num w:numId="7" w16cid:durableId="2097284718">
    <w:abstractNumId w:val="6"/>
  </w:num>
  <w:num w:numId="8" w16cid:durableId="1534998499">
    <w:abstractNumId w:val="12"/>
  </w:num>
  <w:num w:numId="9" w16cid:durableId="536478383">
    <w:abstractNumId w:val="8"/>
  </w:num>
  <w:num w:numId="10" w16cid:durableId="940799552">
    <w:abstractNumId w:val="3"/>
  </w:num>
  <w:num w:numId="11" w16cid:durableId="1880891910">
    <w:abstractNumId w:val="9"/>
  </w:num>
  <w:num w:numId="12" w16cid:durableId="1774744502">
    <w:abstractNumId w:val="13"/>
  </w:num>
  <w:num w:numId="13" w16cid:durableId="1164971573">
    <w:abstractNumId w:val="11"/>
  </w:num>
  <w:num w:numId="14" w16cid:durableId="370885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88"/>
    <w:rsid w:val="002E38B2"/>
    <w:rsid w:val="002F3D61"/>
    <w:rsid w:val="00330178"/>
    <w:rsid w:val="00376997"/>
    <w:rsid w:val="00456F94"/>
    <w:rsid w:val="00B22988"/>
    <w:rsid w:val="00BC02E8"/>
    <w:rsid w:val="00C34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1D4E"/>
  <w15:chartTrackingRefBased/>
  <w15:docId w15:val="{F8A1C7C4-0F3B-414E-A7CC-CF9B151B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29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B229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22988"/>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22988"/>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22988"/>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B2298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298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298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298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2988"/>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B22988"/>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22988"/>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22988"/>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B22988"/>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B229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29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29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298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2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29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298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29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298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2988"/>
    <w:rPr>
      <w:i/>
      <w:iCs/>
      <w:color w:val="404040" w:themeColor="text1" w:themeTint="BF"/>
    </w:rPr>
  </w:style>
  <w:style w:type="paragraph" w:styleId="Paragrafoelenco">
    <w:name w:val="List Paragraph"/>
    <w:basedOn w:val="Normale"/>
    <w:uiPriority w:val="34"/>
    <w:qFormat/>
    <w:rsid w:val="00B22988"/>
    <w:pPr>
      <w:ind w:left="720"/>
      <w:contextualSpacing/>
    </w:pPr>
  </w:style>
  <w:style w:type="character" w:styleId="Enfasiintensa">
    <w:name w:val="Intense Emphasis"/>
    <w:basedOn w:val="Carpredefinitoparagrafo"/>
    <w:uiPriority w:val="21"/>
    <w:qFormat/>
    <w:rsid w:val="00B22988"/>
    <w:rPr>
      <w:i/>
      <w:iCs/>
      <w:color w:val="2E74B5" w:themeColor="accent1" w:themeShade="BF"/>
    </w:rPr>
  </w:style>
  <w:style w:type="paragraph" w:styleId="Citazioneintensa">
    <w:name w:val="Intense Quote"/>
    <w:basedOn w:val="Normale"/>
    <w:next w:val="Normale"/>
    <w:link w:val="CitazioneintensaCarattere"/>
    <w:uiPriority w:val="30"/>
    <w:qFormat/>
    <w:rsid w:val="00B229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22988"/>
    <w:rPr>
      <w:i/>
      <w:iCs/>
      <w:color w:val="2E74B5" w:themeColor="accent1" w:themeShade="BF"/>
    </w:rPr>
  </w:style>
  <w:style w:type="character" w:styleId="Riferimentointenso">
    <w:name w:val="Intense Reference"/>
    <w:basedOn w:val="Carpredefinitoparagrafo"/>
    <w:uiPriority w:val="32"/>
    <w:qFormat/>
    <w:rsid w:val="00B22988"/>
    <w:rPr>
      <w:b/>
      <w:bCs/>
      <w:smallCaps/>
      <w:color w:val="2E74B5" w:themeColor="accent1" w:themeShade="BF"/>
      <w:spacing w:val="5"/>
    </w:rPr>
  </w:style>
  <w:style w:type="character" w:styleId="Collegamentoipertestuale">
    <w:name w:val="Hyperlink"/>
    <w:basedOn w:val="Carpredefinitoparagrafo"/>
    <w:uiPriority w:val="99"/>
    <w:unhideWhenUsed/>
    <w:rsid w:val="00B22988"/>
    <w:rPr>
      <w:color w:val="0563C1" w:themeColor="hyperlink"/>
      <w:u w:val="single"/>
    </w:rPr>
  </w:style>
  <w:style w:type="character" w:styleId="Menzionenonrisolta">
    <w:name w:val="Unresolved Mention"/>
    <w:basedOn w:val="Carpredefinitoparagrafo"/>
    <w:uiPriority w:val="99"/>
    <w:semiHidden/>
    <w:unhideWhenUsed/>
    <w:rsid w:val="00B2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diterranean.economies@ismed.cn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Canitano</dc:creator>
  <cp:keywords/>
  <dc:description/>
  <cp:lastModifiedBy>GIOVANNI CANITANO</cp:lastModifiedBy>
  <cp:revision>2</cp:revision>
  <dcterms:created xsi:type="dcterms:W3CDTF">2026-04-24T15:19:00Z</dcterms:created>
  <dcterms:modified xsi:type="dcterms:W3CDTF">2026-04-28T10:16:00Z</dcterms:modified>
</cp:coreProperties>
</file>