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9BB9B" w14:textId="77777777" w:rsidR="0075173E" w:rsidRDefault="00000000" w:rsidP="000F29A3">
      <w:pPr>
        <w:spacing w:before="200" w:after="120"/>
        <w:jc w:val="center"/>
      </w:pPr>
      <w:r>
        <w:rPr>
          <w:color w:val="888888"/>
          <w:spacing w:val="200"/>
          <w:sz w:val="18"/>
          <w:szCs w:val="18"/>
        </w:rPr>
        <w:t>PRESS RELEASE</w:t>
      </w:r>
    </w:p>
    <w:p w14:paraId="2ACEE5ED" w14:textId="22D93FC6" w:rsidR="0075173E" w:rsidRDefault="00000000">
      <w:pPr>
        <w:spacing w:after="400"/>
        <w:jc w:val="center"/>
      </w:pPr>
      <w:r>
        <w:rPr>
          <w:b/>
          <w:bCs/>
          <w:color w:val="CC0000"/>
          <w:sz w:val="20"/>
          <w:szCs w:val="20"/>
        </w:rPr>
        <w:t>Embargoed until Wednesday, 11 February 2026, 13:00 UTC</w:t>
      </w:r>
    </w:p>
    <w:p w14:paraId="5E578CE9" w14:textId="77777777" w:rsidR="0075173E" w:rsidRDefault="00000000">
      <w:pPr>
        <w:spacing w:after="160"/>
        <w:jc w:val="center"/>
      </w:pPr>
      <w:r>
        <w:rPr>
          <w:color w:val="1B3A5C"/>
          <w:sz w:val="32"/>
          <w:szCs w:val="32"/>
        </w:rPr>
        <w:t>Winners of the Quantum City Prize Announced at the Closing Ceremony of the International Year of Quantum Science and Technology</w:t>
      </w:r>
    </w:p>
    <w:p w14:paraId="5FC5C259" w14:textId="027C8AF9" w:rsidR="0075173E" w:rsidRDefault="00000000">
      <w:pPr>
        <w:spacing w:after="400"/>
        <w:jc w:val="center"/>
      </w:pPr>
      <w:r>
        <w:rPr>
          <w:i/>
          <w:iCs/>
          <w:color w:val="888888"/>
        </w:rPr>
        <w:t>Seven cities recognized for bringing quantum science into public life</w:t>
      </w:r>
    </w:p>
    <w:p w14:paraId="40BDCC44" w14:textId="43EB39D6" w:rsidR="0075173E" w:rsidRDefault="00000000">
      <w:pPr>
        <w:spacing w:after="240"/>
      </w:pPr>
      <w:r>
        <w:rPr>
          <w:b/>
          <w:bCs/>
        </w:rPr>
        <w:t>Accra, Ghana, 11 February 2026.</w:t>
      </w:r>
      <w:r>
        <w:t xml:space="preserve"> The winners of the first Quantum City Prize were announced today at the Closing Ceremony of the United Nations International Year of Quantum Science and Technology (IYQ 2025) in Accra, Ghana. Created by World Quantum Day, the prize recognizes initiatives that bring quantum science and technology into the public spaces of cities around the world.</w:t>
      </w:r>
    </w:p>
    <w:p w14:paraId="4C5210D0" w14:textId="77777777" w:rsidR="0075173E" w:rsidRDefault="00000000">
      <w:pPr>
        <w:spacing w:after="240"/>
      </w:pPr>
      <w:r>
        <w:t>What sets the Quantum City Prize apart is the idea that the public should not have to register for an event, or travel to a specific venue, to encounter quantum science. Instead, winning initiatives place quantum content directly in the urban landscape so that people can discover it serendipitously as part of their daily lives.</w:t>
      </w:r>
    </w:p>
    <w:p w14:paraId="035BD9AD" w14:textId="77777777" w:rsidR="0075173E" w:rsidRDefault="00000000">
      <w:pPr>
        <w:spacing w:after="240"/>
      </w:pPr>
      <w:r>
        <w:t>Continental Quantum City Prizes were awarded across Africa, Asia, Europe, North &amp; Central America, and South America. The continental winners then competed for the World Quantum City Prize, announced today in Accra.</w:t>
      </w:r>
    </w:p>
    <w:p w14:paraId="0A1B2C3D" w14:textId="77777777" w:rsidR="0075173E" w:rsidRDefault="00000000">
      <w:pPr>
        <w:spacing w:after="240"/>
      </w:pPr>
      <w:r>
        <w:t xml:space="preserve">Prof. Yasser Omar, President of PQI – Portuguese Quantum Institute and Coordinator of the World Quantum Day, announced: </w:t>
      </w:r>
      <w:r>
        <w:rPr>
          <w:i/>
          <w:iCs/>
        </w:rPr>
        <w:t>“Congratulations to all the winners and applicants for bringing awareness about quantum science and technology to the public spaces of their cities! Given the success of this initiative, we will organise a new edition of the Quantum City Prize!”</w:t>
      </w:r>
    </w:p>
    <w:p w14:paraId="75BA7AB7" w14:textId="77777777" w:rsidR="0075173E" w:rsidRDefault="00000000">
      <w:pPr>
        <w:pStyle w:val="Ttulo1"/>
      </w:pPr>
      <w:r>
        <w:t>World Quantum City Prize</w:t>
      </w:r>
    </w:p>
    <w:p w14:paraId="0E02B984" w14:textId="77777777" w:rsidR="0075173E" w:rsidRDefault="00000000">
      <w:pPr>
        <w:spacing w:after="120"/>
      </w:pPr>
      <w:r>
        <w:rPr>
          <w:b/>
          <w:bCs/>
        </w:rPr>
        <w:t>1st Place: Putignano, Italy</w:t>
      </w:r>
    </w:p>
    <w:p w14:paraId="1993BA2C" w14:textId="77777777" w:rsidR="0075173E" w:rsidRDefault="00000000">
      <w:pPr>
        <w:spacing w:after="80"/>
      </w:pPr>
      <w:r>
        <w:rPr>
          <w:i/>
          <w:iCs/>
        </w:rPr>
        <w:t>“Quantum Paradoxes in Papier-Mâché: An Urban Journey Through Science, Art, and Wonder”</w:t>
      </w:r>
    </w:p>
    <w:p w14:paraId="5359ECD2" w14:textId="77777777" w:rsidR="0075173E" w:rsidRDefault="00000000">
      <w:pPr>
        <w:spacing w:after="240"/>
      </w:pPr>
      <w:r>
        <w:rPr>
          <w:color w:val="888888"/>
        </w:rPr>
        <w:t>By the Institute for Photonics and Nanotechnologies (IFN), National Research Council (CNR)</w:t>
      </w:r>
    </w:p>
    <w:p w14:paraId="3BDF0F07" w14:textId="77777777" w:rsidR="0075173E" w:rsidRDefault="00000000">
      <w:pPr>
        <w:spacing w:after="120"/>
      </w:pPr>
      <w:r>
        <w:rPr>
          <w:b/>
          <w:bCs/>
        </w:rPr>
        <w:t>2nd Place: Alamein City, Egypt</w:t>
      </w:r>
    </w:p>
    <w:p w14:paraId="7750581B" w14:textId="77777777" w:rsidR="0075173E" w:rsidRDefault="00000000">
      <w:pPr>
        <w:spacing w:after="80"/>
      </w:pPr>
      <w:r>
        <w:rPr>
          <w:i/>
          <w:iCs/>
        </w:rPr>
        <w:t>“Alamein City, the Past and the Future”</w:t>
      </w:r>
    </w:p>
    <w:p w14:paraId="6050F878" w14:textId="77777777" w:rsidR="0075173E" w:rsidRDefault="00000000">
      <w:pPr>
        <w:spacing w:after="240"/>
      </w:pPr>
      <w:r>
        <w:rPr>
          <w:color w:val="888888"/>
        </w:rPr>
        <w:t>By Alamein International University (AIU) and Alexandria Quantum Computing Group (AleQCG)</w:t>
      </w:r>
    </w:p>
    <w:p w14:paraId="1D590CC1" w14:textId="77777777" w:rsidR="0075173E" w:rsidRPr="002C5644" w:rsidRDefault="00000000">
      <w:pPr>
        <w:pStyle w:val="Ttulo1"/>
        <w:rPr>
          <w:lang w:val="pt-BR"/>
        </w:rPr>
      </w:pPr>
      <w:r w:rsidRPr="002C5644">
        <w:rPr>
          <w:lang w:val="pt-BR"/>
        </w:rPr>
        <w:t>Continental Quantum City Prizes</w:t>
      </w:r>
    </w:p>
    <w:p w14:paraId="7C4B16EF" w14:textId="77777777" w:rsidR="0075173E" w:rsidRPr="002C5644" w:rsidRDefault="00000000">
      <w:pPr>
        <w:spacing w:after="60"/>
        <w:rPr>
          <w:lang w:val="pt-BR"/>
        </w:rPr>
      </w:pPr>
      <w:r w:rsidRPr="002C5644">
        <w:rPr>
          <w:b/>
          <w:bCs/>
          <w:lang w:val="pt-BR"/>
        </w:rPr>
        <w:t xml:space="preserve">Africa: </w:t>
      </w:r>
      <w:r w:rsidRPr="002C5644">
        <w:rPr>
          <w:lang w:val="pt-BR"/>
        </w:rPr>
        <w:t>Alamein City, Egypt</w:t>
      </w:r>
    </w:p>
    <w:p w14:paraId="67BBD252" w14:textId="77777777" w:rsidR="0075173E" w:rsidRDefault="00000000">
      <w:pPr>
        <w:spacing w:after="40"/>
      </w:pPr>
      <w:r>
        <w:rPr>
          <w:i/>
          <w:iCs/>
        </w:rPr>
        <w:t>“Alamein City, the Past and the Future”</w:t>
      </w:r>
    </w:p>
    <w:p w14:paraId="2B808B9A" w14:textId="77777777" w:rsidR="0075173E" w:rsidRDefault="00000000">
      <w:pPr>
        <w:spacing w:after="200"/>
      </w:pPr>
      <w:r>
        <w:rPr>
          <w:color w:val="888888"/>
        </w:rPr>
        <w:t>By Alamein International University (AIU) and Alexandria Quantum Computing Group (AleQCG)</w:t>
      </w:r>
    </w:p>
    <w:p w14:paraId="7D78576D" w14:textId="77777777" w:rsidR="0075173E" w:rsidRPr="002C5644" w:rsidRDefault="00000000">
      <w:pPr>
        <w:spacing w:after="60"/>
        <w:rPr>
          <w:lang w:val="pt-BR"/>
        </w:rPr>
      </w:pPr>
      <w:r w:rsidRPr="002C5644">
        <w:rPr>
          <w:b/>
          <w:bCs/>
          <w:lang w:val="pt-BR"/>
        </w:rPr>
        <w:lastRenderedPageBreak/>
        <w:t xml:space="preserve">Asia: </w:t>
      </w:r>
      <w:r w:rsidRPr="002C5644">
        <w:rPr>
          <w:lang w:val="pt-BR"/>
        </w:rPr>
        <w:t>Osaka, Japan</w:t>
      </w:r>
    </w:p>
    <w:p w14:paraId="0CBEF18D" w14:textId="77777777" w:rsidR="0075173E" w:rsidRPr="002C5644" w:rsidRDefault="00000000">
      <w:pPr>
        <w:spacing w:after="40"/>
        <w:rPr>
          <w:lang w:val="pt-BR"/>
        </w:rPr>
      </w:pPr>
      <w:r w:rsidRPr="002C5644">
        <w:rPr>
          <w:i/>
          <w:iCs/>
          <w:lang w:val="pt-BR"/>
        </w:rPr>
        <w:t>“Osaka Quantum Discovery”</w:t>
      </w:r>
    </w:p>
    <w:p w14:paraId="144578EE" w14:textId="77777777" w:rsidR="0075173E" w:rsidRDefault="00000000">
      <w:pPr>
        <w:spacing w:after="200"/>
      </w:pPr>
      <w:r>
        <w:rPr>
          <w:color w:val="888888"/>
        </w:rPr>
        <w:t>By Center for Quantum Information and Quantum Biology (QIQB), University of Osaka</w:t>
      </w:r>
    </w:p>
    <w:p w14:paraId="301105F6" w14:textId="77777777" w:rsidR="000F29A3" w:rsidRDefault="000F29A3">
      <w:pPr>
        <w:spacing w:after="60"/>
        <w:rPr>
          <w:b/>
          <w:bCs/>
        </w:rPr>
      </w:pPr>
    </w:p>
    <w:p w14:paraId="483CF99C" w14:textId="3B6BC27D" w:rsidR="0075173E" w:rsidRDefault="00000000">
      <w:pPr>
        <w:spacing w:after="60"/>
      </w:pPr>
      <w:r>
        <w:rPr>
          <w:b/>
          <w:bCs/>
        </w:rPr>
        <w:t xml:space="preserve">Europe: </w:t>
      </w:r>
      <w:r>
        <w:t>Putignano, Italy</w:t>
      </w:r>
    </w:p>
    <w:p w14:paraId="6640A385" w14:textId="77777777" w:rsidR="0075173E" w:rsidRDefault="00000000">
      <w:pPr>
        <w:spacing w:after="40"/>
      </w:pPr>
      <w:r>
        <w:rPr>
          <w:i/>
          <w:iCs/>
        </w:rPr>
        <w:t>“Quantum Paradoxes in Papier-Mâché: An Urban Journey Through Science, Art, and Wonder”</w:t>
      </w:r>
    </w:p>
    <w:p w14:paraId="58CE1AF4" w14:textId="77777777" w:rsidR="0075173E" w:rsidRDefault="00000000">
      <w:pPr>
        <w:spacing w:after="200"/>
      </w:pPr>
      <w:r>
        <w:rPr>
          <w:color w:val="888888"/>
        </w:rPr>
        <w:t>By Institute for Photonics and Nanotechnologies (IFN), National Research Council (CNR)</w:t>
      </w:r>
    </w:p>
    <w:p w14:paraId="75ECE338" w14:textId="77777777" w:rsidR="0075173E" w:rsidRDefault="00000000">
      <w:pPr>
        <w:spacing w:after="60"/>
      </w:pPr>
      <w:r>
        <w:rPr>
          <w:b/>
          <w:bCs/>
        </w:rPr>
        <w:t xml:space="preserve">North &amp; Central America: </w:t>
      </w:r>
      <w:r>
        <w:t>Urbana-Champaign (twin cities), USA</w:t>
      </w:r>
    </w:p>
    <w:p w14:paraId="1BD5E0B8" w14:textId="77777777" w:rsidR="0075173E" w:rsidRDefault="00000000">
      <w:pPr>
        <w:spacing w:after="40"/>
      </w:pPr>
      <w:r>
        <w:rPr>
          <w:i/>
          <w:iCs/>
        </w:rPr>
        <w:t>“Public Quantum Network”</w:t>
      </w:r>
    </w:p>
    <w:p w14:paraId="771AB29B" w14:textId="77777777" w:rsidR="0075173E" w:rsidRDefault="00000000">
      <w:pPr>
        <w:spacing w:after="200"/>
      </w:pPr>
      <w:r>
        <w:rPr>
          <w:color w:val="888888"/>
        </w:rPr>
        <w:t>By University of Illinois Urbana-Champaign</w:t>
      </w:r>
    </w:p>
    <w:p w14:paraId="5642D440" w14:textId="77777777" w:rsidR="0075173E" w:rsidRPr="002C5644" w:rsidRDefault="00000000">
      <w:pPr>
        <w:spacing w:after="60"/>
        <w:rPr>
          <w:lang w:val="pt-BR"/>
        </w:rPr>
      </w:pPr>
      <w:r w:rsidRPr="002C5644">
        <w:rPr>
          <w:b/>
          <w:bCs/>
          <w:lang w:val="pt-BR"/>
        </w:rPr>
        <w:t xml:space="preserve">South America: </w:t>
      </w:r>
      <w:r w:rsidRPr="002C5644">
        <w:rPr>
          <w:lang w:val="pt-BR"/>
        </w:rPr>
        <w:t>Paraty, Brazil</w:t>
      </w:r>
    </w:p>
    <w:p w14:paraId="5CD58353" w14:textId="77777777" w:rsidR="0075173E" w:rsidRPr="002C5644" w:rsidRDefault="00000000">
      <w:pPr>
        <w:spacing w:after="40"/>
        <w:rPr>
          <w:lang w:val="pt-BR"/>
        </w:rPr>
      </w:pPr>
      <w:r w:rsidRPr="002C5644">
        <w:rPr>
          <w:i/>
          <w:iCs/>
          <w:lang w:val="pt-BR"/>
        </w:rPr>
        <w:t>“Perspectivas Emaranhadas (Entangled Perspectives)”</w:t>
      </w:r>
    </w:p>
    <w:p w14:paraId="061BEC76" w14:textId="77777777" w:rsidR="0075173E" w:rsidRPr="002C5644" w:rsidRDefault="00000000">
      <w:pPr>
        <w:spacing w:after="200"/>
        <w:rPr>
          <w:lang w:val="pt-BR"/>
        </w:rPr>
      </w:pPr>
      <w:r w:rsidRPr="002C5644">
        <w:rPr>
          <w:color w:val="888888"/>
          <w:lang w:val="pt-BR"/>
        </w:rPr>
        <w:t>By Universidade Federal do Rio de Janeiro</w:t>
      </w:r>
    </w:p>
    <w:p w14:paraId="784B0E28" w14:textId="77777777" w:rsidR="0075173E" w:rsidRDefault="00000000">
      <w:pPr>
        <w:pStyle w:val="Ttulo1"/>
      </w:pPr>
      <w:r>
        <w:t>About the Quantum City Prize</w:t>
      </w:r>
    </w:p>
    <w:p w14:paraId="726B0392" w14:textId="5A39F719" w:rsidR="0075173E" w:rsidRDefault="00000000">
      <w:pPr>
        <w:spacing w:after="240"/>
      </w:pPr>
      <w:r>
        <w:t>The Quantum City Prize rewards the best initiatives bringing quantum science and technology to the public space of a city. Examples include placing posters in a city’s public transport network, organizing activities in public squares, or creating installations that passers-by can encounter without prior registration. Continental Quantum City Prizes recognized the best initiative on each continent, and the World Quantum City Prize was then selected from among the continental winners.</w:t>
      </w:r>
    </w:p>
    <w:p w14:paraId="0E74FF96" w14:textId="77777777" w:rsidR="0075173E" w:rsidRDefault="00000000">
      <w:pPr>
        <w:pStyle w:val="Ttulo1"/>
      </w:pPr>
      <w:r>
        <w:t>About World Quantum Day</w:t>
      </w:r>
    </w:p>
    <w:p w14:paraId="397DE799" w14:textId="77777777" w:rsidR="0075173E" w:rsidRDefault="00000000">
      <w:pPr>
        <w:spacing w:after="240"/>
      </w:pPr>
      <w:r>
        <w:t>World Quantum Day is celebrated every 14 April, a date reflecting the first digits of Planck’s constant (4.14 × 10⁻¹⁵ eV·s). Launched in 2022 by scientists and science communicators from over 65 countries, the initiative promotes public awareness of quantum science and technology worldwide. More information at worldquantumday.org.</w:t>
      </w:r>
    </w:p>
    <w:p w14:paraId="2E2AA4B6" w14:textId="77777777" w:rsidR="0075173E" w:rsidRDefault="00000000">
      <w:pPr>
        <w:pStyle w:val="Ttulo1"/>
      </w:pPr>
      <w:r>
        <w:t>About the International Year of Quantum (IYQ 2025)</w:t>
      </w:r>
    </w:p>
    <w:p w14:paraId="34FDA293" w14:textId="56262E0E" w:rsidR="0075173E" w:rsidRDefault="00000000">
      <w:pPr>
        <w:spacing w:after="240"/>
      </w:pPr>
      <w:r>
        <w:t>The United Nations designated 2025 as the International Year of Quantum Science and Technology, marking 100 years of quantum mechanics. The IYQ has mobilized a global community through scientific events, educational programmes, policy dialogues, and public engagement across all regions.</w:t>
      </w:r>
    </w:p>
    <w:p w14:paraId="0152ADAF" w14:textId="77777777" w:rsidR="0075173E" w:rsidRDefault="0075173E" w:rsidP="002C5644">
      <w:pPr>
        <w:pBdr>
          <w:top w:val="single" w:sz="4" w:space="12" w:color="1B3A5C"/>
        </w:pBdr>
        <w:spacing w:before="200"/>
      </w:pPr>
    </w:p>
    <w:p w14:paraId="5BDDC29A" w14:textId="77777777" w:rsidR="0075173E" w:rsidRDefault="00000000">
      <w:pPr>
        <w:spacing w:after="80"/>
      </w:pPr>
      <w:r>
        <w:t xml:space="preserve">Quantum City Prize 2025: </w:t>
      </w:r>
      <w:hyperlink r:id="rId7" w:history="1">
        <w:r w:rsidR="0075173E">
          <w:rPr>
            <w:color w:val="1B75BB"/>
            <w:u w:val="single"/>
          </w:rPr>
          <w:t>worldquantumday.org/quantum-city-prize-2025</w:t>
        </w:r>
      </w:hyperlink>
    </w:p>
    <w:p w14:paraId="657F7858" w14:textId="77777777" w:rsidR="0075173E" w:rsidRDefault="00000000">
      <w:pPr>
        <w:spacing w:after="80"/>
      </w:pPr>
      <w:r>
        <w:t xml:space="preserve">World Quantum Day: </w:t>
      </w:r>
      <w:hyperlink r:id="rId8" w:history="1">
        <w:r w:rsidR="0075173E">
          <w:rPr>
            <w:color w:val="1B75BB"/>
            <w:u w:val="single"/>
          </w:rPr>
          <w:t>worldquantumday.org</w:t>
        </w:r>
      </w:hyperlink>
    </w:p>
    <w:p w14:paraId="272FC45E" w14:textId="648D8C35" w:rsidR="0075173E" w:rsidRDefault="00000000" w:rsidP="000F29A3">
      <w:pPr>
        <w:spacing w:after="80"/>
      </w:pPr>
      <w:r>
        <w:t xml:space="preserve">IYQ 2025: </w:t>
      </w:r>
      <w:hyperlink r:id="rId9" w:history="1">
        <w:r w:rsidR="0075173E">
          <w:rPr>
            <w:color w:val="1B75BB"/>
            <w:u w:val="single"/>
          </w:rPr>
          <w:t>quantum2025.org</w:t>
        </w:r>
      </w:hyperlink>
    </w:p>
    <w:p w14:paraId="1A2B3C4E" w14:textId="77777777" w:rsidR="0075173E" w:rsidRDefault="00000000">
      <w:pPr>
        <w:spacing w:before="240" w:after="80"/>
      </w:pPr>
      <w:r>
        <w:rPr>
          <w:b/>
          <w:bCs/>
        </w:rPr>
        <w:t>Social media:</w:t>
      </w:r>
    </w:p>
    <w:p w14:paraId="1A2B3C4F" w14:textId="77777777" w:rsidR="0075173E" w:rsidRDefault="00000000">
      <w:pPr>
        <w:spacing w:after="80"/>
      </w:pPr>
      <w:r>
        <w:t>Winners and participants are encouraged to share their achievements using:</w:t>
      </w:r>
    </w:p>
    <w:p w14:paraId="1A2B3C50" w14:textId="77777777" w:rsidR="0075173E" w:rsidRDefault="00000000">
      <w:pPr>
        <w:spacing w:after="80"/>
      </w:pPr>
      <w:r>
        <w:rPr>
          <w:b/>
          <w:bCs/>
          <w:color w:val="1B75BB"/>
        </w:rPr>
        <w:t>#QuantumCityPrize  #WorldQuantumDay  #QuantumCity</w:t>
      </w:r>
    </w:p>
    <w:sectPr w:rsidR="0075173E">
      <w:headerReference w:type="even" r:id="rId10"/>
      <w:headerReference w:type="default" r:id="rId11"/>
      <w:footerReference w:type="even" r:id="rId12"/>
      <w:footerReference w:type="default" r:id="rId13"/>
      <w:headerReference w:type="first" r:id="rId14"/>
      <w:footerReference w:type="first" r:id="rId15"/>
      <w:pgSz w:w="11906" w:h="16838"/>
      <w:pgMar w:top="140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E5A9" w14:textId="77777777" w:rsidR="009D395C" w:rsidRDefault="009D395C">
      <w:r>
        <w:separator/>
      </w:r>
    </w:p>
  </w:endnote>
  <w:endnote w:type="continuationSeparator" w:id="0">
    <w:p w14:paraId="1489FDF4" w14:textId="77777777" w:rsidR="009D395C" w:rsidRDefault="009D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EF14" w14:textId="77777777" w:rsidR="001D6415" w:rsidRDefault="001D641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9205" w14:textId="77777777" w:rsidR="0075173E" w:rsidRDefault="00000000">
    <w:pPr>
      <w:jc w:val="center"/>
    </w:pPr>
    <w:r>
      <w:rPr>
        <w:color w:val="888888"/>
        <w:sz w:val="16"/>
        <w:szCs w:val="16"/>
      </w:rPr>
      <w:t>worldquantumday.org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7839" w14:textId="77777777" w:rsidR="001D6415" w:rsidRDefault="001D641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1D71" w14:textId="77777777" w:rsidR="009D395C" w:rsidRDefault="009D395C">
      <w:r>
        <w:separator/>
      </w:r>
    </w:p>
  </w:footnote>
  <w:footnote w:type="continuationSeparator" w:id="0">
    <w:p w14:paraId="6BAF091C" w14:textId="77777777" w:rsidR="009D395C" w:rsidRDefault="009D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7427" w14:textId="77777777" w:rsidR="001D6415" w:rsidRDefault="001D641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5BAC" w14:textId="0D7F96E5" w:rsidR="000F29A3" w:rsidRDefault="000F29A3" w:rsidP="001D6415">
    <w:pPr>
      <w:spacing w:after="80"/>
      <w:jc w:val="center"/>
    </w:pPr>
    <w:r>
      <w:rPr>
        <w:noProof/>
      </w:rPr>
      <w:drawing>
        <wp:inline distT="0" distB="0" distL="0" distR="0" wp14:anchorId="40FB496F" wp14:editId="4C3678B5">
          <wp:extent cx="2235200" cy="721360"/>
          <wp:effectExtent l="0" t="0" r="0" b="2540"/>
          <wp:docPr id="5197915" name="Picture 2" descr="A black background with white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915" name="Picture 2" descr="A black background with white text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9801" cy="7873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3E87" w14:textId="77777777" w:rsidR="001D6415" w:rsidRDefault="001D641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53DC2"/>
    <w:multiLevelType w:val="hybridMultilevel"/>
    <w:tmpl w:val="1B8C4A04"/>
    <w:lvl w:ilvl="0" w:tplc="FA0E9F8E">
      <w:start w:val="1"/>
      <w:numFmt w:val="bullet"/>
      <w:lvlText w:val="●"/>
      <w:lvlJc w:val="left"/>
      <w:pPr>
        <w:ind w:left="720" w:hanging="360"/>
      </w:pPr>
    </w:lvl>
    <w:lvl w:ilvl="1" w:tplc="8FFAEB18">
      <w:start w:val="1"/>
      <w:numFmt w:val="bullet"/>
      <w:lvlText w:val="○"/>
      <w:lvlJc w:val="left"/>
      <w:pPr>
        <w:ind w:left="1440" w:hanging="360"/>
      </w:pPr>
    </w:lvl>
    <w:lvl w:ilvl="2" w:tplc="7E02A196">
      <w:start w:val="1"/>
      <w:numFmt w:val="bullet"/>
      <w:lvlText w:val="■"/>
      <w:lvlJc w:val="left"/>
      <w:pPr>
        <w:ind w:left="2160" w:hanging="360"/>
      </w:pPr>
    </w:lvl>
    <w:lvl w:ilvl="3" w:tplc="7A581FE8">
      <w:start w:val="1"/>
      <w:numFmt w:val="bullet"/>
      <w:lvlText w:val="●"/>
      <w:lvlJc w:val="left"/>
      <w:pPr>
        <w:ind w:left="2880" w:hanging="360"/>
      </w:pPr>
    </w:lvl>
    <w:lvl w:ilvl="4" w:tplc="4E90820A">
      <w:start w:val="1"/>
      <w:numFmt w:val="bullet"/>
      <w:lvlText w:val="○"/>
      <w:lvlJc w:val="left"/>
      <w:pPr>
        <w:ind w:left="3600" w:hanging="360"/>
      </w:pPr>
    </w:lvl>
    <w:lvl w:ilvl="5" w:tplc="2F40384E">
      <w:start w:val="1"/>
      <w:numFmt w:val="bullet"/>
      <w:lvlText w:val="■"/>
      <w:lvlJc w:val="left"/>
      <w:pPr>
        <w:ind w:left="4320" w:hanging="360"/>
      </w:pPr>
    </w:lvl>
    <w:lvl w:ilvl="6" w:tplc="84D07DE4">
      <w:start w:val="1"/>
      <w:numFmt w:val="bullet"/>
      <w:lvlText w:val="●"/>
      <w:lvlJc w:val="left"/>
      <w:pPr>
        <w:ind w:left="5040" w:hanging="360"/>
      </w:pPr>
    </w:lvl>
    <w:lvl w:ilvl="7" w:tplc="2EF84B20">
      <w:start w:val="1"/>
      <w:numFmt w:val="bullet"/>
      <w:lvlText w:val="●"/>
      <w:lvlJc w:val="left"/>
      <w:pPr>
        <w:ind w:left="5760" w:hanging="360"/>
      </w:pPr>
    </w:lvl>
    <w:lvl w:ilvl="8" w:tplc="A09870C8">
      <w:start w:val="1"/>
      <w:numFmt w:val="bullet"/>
      <w:lvlText w:val="●"/>
      <w:lvlJc w:val="left"/>
      <w:pPr>
        <w:ind w:left="6480" w:hanging="360"/>
      </w:pPr>
    </w:lvl>
  </w:abstractNum>
  <w:num w:numId="1" w16cid:durableId="5683490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3E"/>
    <w:rsid w:val="000F29A3"/>
    <w:rsid w:val="001D6415"/>
    <w:rsid w:val="002C1435"/>
    <w:rsid w:val="002C5644"/>
    <w:rsid w:val="00372CAA"/>
    <w:rsid w:val="0075173E"/>
    <w:rsid w:val="009B32B3"/>
    <w:rsid w:val="009D395C"/>
    <w:rsid w:val="00BD3696"/>
    <w:rsid w:val="00C14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CF76"/>
  <w15:docId w15:val="{5DB3683E-7195-CB4D-9189-81C9676C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160"/>
      <w:outlineLvl w:val="0"/>
    </w:pPr>
    <w:rPr>
      <w:b/>
      <w:bCs/>
      <w:color w:val="1B3A5C"/>
      <w:sz w:val="28"/>
      <w:szCs w:val="28"/>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Strong1">
    <w:name w:val="Strong1"/>
    <w:qFormat/>
    <w:rPr>
      <w:b/>
      <w:bCs/>
    </w:rPr>
  </w:style>
  <w:style w:type="paragraph" w:styleId="PargrafodaLista">
    <w:name w:val="List Paragraph"/>
    <w:qFormat/>
  </w:style>
  <w:style w:type="character" w:styleId="Hiperligao">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arter"/>
    <w:uiPriority w:val="99"/>
    <w:semiHidden/>
    <w:unhideWhenUsed/>
    <w:rPr>
      <w:sz w:val="20"/>
      <w:szCs w:val="20"/>
    </w:rPr>
  </w:style>
  <w:style w:type="character" w:customStyle="1" w:styleId="TextodenotaderodapCarter">
    <w:name w:val="Texto de nota de rodapé Caráter"/>
    <w:link w:val="Textodenotaderodap"/>
    <w:uiPriority w:val="99"/>
    <w:semiHidden/>
    <w:unhideWhenUsed/>
    <w:rPr>
      <w:sz w:val="20"/>
      <w:szCs w:val="20"/>
    </w:rPr>
  </w:style>
  <w:style w:type="paragraph" w:styleId="Cabealho">
    <w:name w:val="header"/>
    <w:basedOn w:val="Normal"/>
    <w:link w:val="CabealhoCarter"/>
    <w:uiPriority w:val="99"/>
    <w:unhideWhenUsed/>
    <w:rsid w:val="000F29A3"/>
    <w:pPr>
      <w:tabs>
        <w:tab w:val="center" w:pos="4680"/>
        <w:tab w:val="right" w:pos="9360"/>
      </w:tabs>
    </w:pPr>
  </w:style>
  <w:style w:type="character" w:customStyle="1" w:styleId="CabealhoCarter">
    <w:name w:val="Cabeçalho Caráter"/>
    <w:basedOn w:val="Tipodeletrapredefinidodopargrafo"/>
    <w:link w:val="Cabealho"/>
    <w:uiPriority w:val="99"/>
    <w:rsid w:val="000F29A3"/>
  </w:style>
  <w:style w:type="paragraph" w:styleId="Rodap">
    <w:name w:val="footer"/>
    <w:basedOn w:val="Normal"/>
    <w:link w:val="RodapCarter"/>
    <w:uiPriority w:val="99"/>
    <w:unhideWhenUsed/>
    <w:rsid w:val="000F29A3"/>
    <w:pPr>
      <w:tabs>
        <w:tab w:val="center" w:pos="4680"/>
        <w:tab w:val="right" w:pos="9360"/>
      </w:tabs>
    </w:pPr>
  </w:style>
  <w:style w:type="character" w:customStyle="1" w:styleId="RodapCarter">
    <w:name w:val="Rodapé Caráter"/>
    <w:basedOn w:val="Tipodeletrapredefinidodopargrafo"/>
    <w:link w:val="Rodap"/>
    <w:uiPriority w:val="99"/>
    <w:rsid w:val="000F2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quantumday.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orldquantumday.org/quantum-city-prize-202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quantum2025.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680</Words>
  <Characters>3677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Hermínia Ribeiro</cp:lastModifiedBy>
  <cp:revision>5</cp:revision>
  <dcterms:created xsi:type="dcterms:W3CDTF">2026-02-10T17:08:00Z</dcterms:created>
  <dcterms:modified xsi:type="dcterms:W3CDTF">2026-02-11T11:34:00Z</dcterms:modified>
</cp:coreProperties>
</file>