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69201" w14:textId="187538D2" w:rsidR="00AC554D" w:rsidRPr="00DF3460" w:rsidRDefault="00A1175F" w:rsidP="007A47DE">
      <w:pPr>
        <w:spacing w:line="192" w:lineRule="auto"/>
        <w:ind w:left="-426"/>
        <w:jc w:val="center"/>
        <w:rPr>
          <w:rFonts w:ascii="Titillium Web" w:hAnsi="Titillium Web" w:cs="Times New Roman"/>
          <w:b/>
          <w:bCs/>
          <w:sz w:val="28"/>
          <w:szCs w:val="28"/>
        </w:rPr>
      </w:pPr>
      <w:r w:rsidRPr="00DF3460">
        <w:rPr>
          <w:rFonts w:ascii="Titillium Web" w:hAnsi="Titillium Web" w:cs="Times New Roman"/>
          <w:b/>
          <w:bCs/>
          <w:sz w:val="28"/>
          <w:szCs w:val="28"/>
        </w:rPr>
        <w:t>NOTA STAMPA</w:t>
      </w:r>
    </w:p>
    <w:p w14:paraId="477498D6" w14:textId="77777777" w:rsidR="00644F23" w:rsidRPr="001B3A48" w:rsidRDefault="00644F23" w:rsidP="00644F23">
      <w:pPr>
        <w:spacing w:line="192" w:lineRule="auto"/>
        <w:jc w:val="center"/>
        <w:rPr>
          <w:rFonts w:ascii="Titillium Web" w:hAnsi="Titillium Web" w:cs="Times New Roman"/>
          <w:b/>
          <w:bCs/>
          <w:sz w:val="23"/>
          <w:szCs w:val="23"/>
        </w:rPr>
      </w:pPr>
      <w:r w:rsidRPr="00644F23">
        <w:rPr>
          <w:rFonts w:ascii="Titillium Web" w:hAnsi="Titillium Web" w:cs="Times New Roman"/>
          <w:b/>
          <w:bCs/>
          <w:sz w:val="23"/>
          <w:szCs w:val="23"/>
        </w:rPr>
        <w:t>Un nuovo strumento per osservare la società italiana e i suoi cambiamenti: </w:t>
      </w:r>
    </w:p>
    <w:p w14:paraId="1C89A605" w14:textId="23C7EA4F" w:rsidR="00644F23" w:rsidRPr="001B3A48" w:rsidRDefault="00644F23" w:rsidP="00644F23">
      <w:pPr>
        <w:spacing w:line="192" w:lineRule="auto"/>
        <w:jc w:val="center"/>
        <w:rPr>
          <w:rFonts w:ascii="Titillium Web" w:hAnsi="Titillium Web" w:cs="Times New Roman"/>
          <w:b/>
          <w:bCs/>
          <w:sz w:val="23"/>
          <w:szCs w:val="23"/>
        </w:rPr>
      </w:pPr>
      <w:r w:rsidRPr="00644F23">
        <w:rPr>
          <w:rFonts w:ascii="Titillium Web" w:hAnsi="Titillium Web" w:cs="Times New Roman"/>
          <w:b/>
          <w:bCs/>
          <w:sz w:val="23"/>
          <w:szCs w:val="23"/>
        </w:rPr>
        <w:t>FOSSR presenta i primi risultati </w:t>
      </w:r>
    </w:p>
    <w:p w14:paraId="04CA4D62" w14:textId="77777777" w:rsidR="00644F23" w:rsidRPr="00644F23" w:rsidRDefault="00644F23" w:rsidP="00644F23">
      <w:pPr>
        <w:spacing w:line="192" w:lineRule="auto"/>
        <w:jc w:val="center"/>
        <w:rPr>
          <w:rFonts w:ascii="Titillium Web" w:hAnsi="Titillium Web" w:cs="Times New Roman"/>
          <w:b/>
          <w:bCs/>
          <w:sz w:val="23"/>
          <w:szCs w:val="23"/>
        </w:rPr>
      </w:pPr>
    </w:p>
    <w:p w14:paraId="346AD52A" w14:textId="1D58EC77" w:rsidR="00644F23" w:rsidRPr="001B3A48" w:rsidRDefault="00644F23" w:rsidP="001B3A48">
      <w:pPr>
        <w:widowControl w:val="0"/>
        <w:spacing w:line="192" w:lineRule="auto"/>
        <w:jc w:val="both"/>
        <w:rPr>
          <w:rFonts w:ascii="Titillium Web" w:hAnsi="Titillium Web" w:cs="Times New Roman"/>
          <w:sz w:val="23"/>
          <w:szCs w:val="23"/>
        </w:rPr>
      </w:pPr>
      <w:r w:rsidRPr="00644F23">
        <w:rPr>
          <w:rFonts w:ascii="Titillium Web" w:hAnsi="Titillium Web" w:cs="Times New Roman"/>
          <w:b/>
          <w:bCs/>
          <w:sz w:val="23"/>
          <w:szCs w:val="23"/>
        </w:rPr>
        <w:t>Il 27 aprile 2025, dalle 9:30 alle 13:00, presso la Domus Australia a Roma (via Cernaia 14 b), si terrà la conferenza</w:t>
      </w:r>
      <w:r w:rsidRPr="001B3A48">
        <w:rPr>
          <w:rFonts w:ascii="Titillium Web" w:hAnsi="Titillium Web" w:cs="Times New Roman"/>
          <w:b/>
          <w:bCs/>
          <w:sz w:val="23"/>
          <w:szCs w:val="23"/>
        </w:rPr>
        <w:t>:</w:t>
      </w:r>
      <w:r w:rsidRPr="00644F23">
        <w:rPr>
          <w:rFonts w:ascii="Titillium Web" w:hAnsi="Titillium Web" w:cs="Times New Roman"/>
          <w:b/>
          <w:bCs/>
          <w:sz w:val="23"/>
          <w:szCs w:val="23"/>
        </w:rPr>
        <w:t> </w:t>
      </w:r>
      <w:r w:rsidRPr="00644F23">
        <w:rPr>
          <w:rFonts w:ascii="Titillium Web" w:hAnsi="Titillium Web" w:cs="Times New Roman"/>
          <w:b/>
          <w:bCs/>
          <w:i/>
          <w:iCs/>
          <w:sz w:val="23"/>
          <w:szCs w:val="23"/>
        </w:rPr>
        <w:t>Prime evidenze dall’infrastruttura FOSSR per un sistema integrato di indagini sulla popolazione italiana</w:t>
      </w:r>
      <w:r w:rsidRPr="001B3A48">
        <w:rPr>
          <w:rFonts w:ascii="Titillium Web" w:hAnsi="Titillium Web" w:cs="Times New Roman"/>
          <w:b/>
          <w:bCs/>
          <w:i/>
          <w:iCs/>
          <w:sz w:val="23"/>
          <w:szCs w:val="23"/>
        </w:rPr>
        <w:t>.</w:t>
      </w:r>
      <w:r w:rsidRPr="001B3A48">
        <w:rPr>
          <w:rFonts w:ascii="Titillium Web" w:hAnsi="Titillium Web" w:cs="Times New Roman"/>
          <w:i/>
          <w:iCs/>
          <w:sz w:val="23"/>
          <w:szCs w:val="23"/>
        </w:rPr>
        <w:t xml:space="preserve"> </w:t>
      </w:r>
      <w:r w:rsidRPr="00644F23">
        <w:rPr>
          <w:rFonts w:ascii="Titillium Web" w:hAnsi="Titillium Web" w:cs="Times New Roman"/>
          <w:sz w:val="23"/>
          <w:szCs w:val="23"/>
        </w:rPr>
        <w:t>L'evento, organizzato dal CNR, mette al centro il ruolo cruciale svolto dalle infrastrutture di ricerca per le scienze sociali per la raccolta di dati sulla popolazione. </w:t>
      </w:r>
      <w:r w:rsidRPr="00644F23">
        <w:rPr>
          <w:rFonts w:ascii="Titillium Web" w:hAnsi="Titillium Web" w:cs="Times New Roman"/>
          <w:b/>
          <w:bCs/>
          <w:sz w:val="23"/>
          <w:szCs w:val="23"/>
        </w:rPr>
        <w:t>Nel corso della giornata verrà presentato </w:t>
      </w:r>
      <w:hyperlink r:id="rId6" w:tgtFrame="_blank" w:history="1">
        <w:r w:rsidRPr="00644F23">
          <w:rPr>
            <w:rStyle w:val="Collegamentoipertestuale"/>
            <w:rFonts w:ascii="Titillium Web" w:hAnsi="Titillium Web" w:cs="Times New Roman"/>
            <w:b/>
            <w:bCs/>
            <w:sz w:val="23"/>
            <w:szCs w:val="23"/>
          </w:rPr>
          <w:t>IOPP (</w:t>
        </w:r>
        <w:proofErr w:type="spellStart"/>
        <w:r w:rsidRPr="00644F23">
          <w:rPr>
            <w:rStyle w:val="Collegamentoipertestuale"/>
            <w:rFonts w:ascii="Titillium Web" w:hAnsi="Titillium Web" w:cs="Times New Roman"/>
            <w:b/>
            <w:bCs/>
            <w:sz w:val="23"/>
            <w:szCs w:val="23"/>
          </w:rPr>
          <w:t>Italian</w:t>
        </w:r>
        <w:proofErr w:type="spellEnd"/>
        <w:r w:rsidRPr="00644F23">
          <w:rPr>
            <w:rStyle w:val="Collegamentoipertestuale"/>
            <w:rFonts w:ascii="Titillium Web" w:hAnsi="Titillium Web" w:cs="Times New Roman"/>
            <w:b/>
            <w:bCs/>
            <w:sz w:val="23"/>
            <w:szCs w:val="23"/>
          </w:rPr>
          <w:t> Online </w:t>
        </w:r>
        <w:proofErr w:type="spellStart"/>
        <w:r w:rsidRPr="00644F23">
          <w:rPr>
            <w:rStyle w:val="Collegamentoipertestuale"/>
            <w:rFonts w:ascii="Titillium Web" w:hAnsi="Titillium Web" w:cs="Times New Roman"/>
            <w:b/>
            <w:bCs/>
            <w:sz w:val="23"/>
            <w:szCs w:val="23"/>
          </w:rPr>
          <w:t>Probability</w:t>
        </w:r>
        <w:proofErr w:type="spellEnd"/>
        <w:r w:rsidRPr="00644F23">
          <w:rPr>
            <w:rStyle w:val="Collegamentoipertestuale"/>
            <w:rFonts w:ascii="Titillium Web" w:hAnsi="Titillium Web" w:cs="Times New Roman"/>
            <w:b/>
            <w:bCs/>
            <w:sz w:val="23"/>
            <w:szCs w:val="23"/>
          </w:rPr>
          <w:t> Panel)</w:t>
        </w:r>
      </w:hyperlink>
      <w:r w:rsidRPr="00644F23">
        <w:rPr>
          <w:rFonts w:ascii="Titillium Web" w:hAnsi="Titillium Web" w:cs="Times New Roman"/>
          <w:b/>
          <w:bCs/>
          <w:sz w:val="23"/>
          <w:szCs w:val="23"/>
        </w:rPr>
        <w:t>:</w:t>
      </w:r>
      <w:r w:rsidR="001B3A48">
        <w:rPr>
          <w:rFonts w:ascii="Titillium Web" w:hAnsi="Titillium Web" w:cs="Times New Roman"/>
          <w:b/>
          <w:bCs/>
          <w:sz w:val="23"/>
          <w:szCs w:val="23"/>
        </w:rPr>
        <w:t xml:space="preserve"> u</w:t>
      </w:r>
      <w:r w:rsidRPr="00644F23">
        <w:rPr>
          <w:rFonts w:ascii="Titillium Web" w:hAnsi="Titillium Web" w:cs="Times New Roman"/>
          <w:b/>
          <w:bCs/>
          <w:sz w:val="23"/>
          <w:szCs w:val="23"/>
        </w:rPr>
        <w:t>n panel probabilistico</w:t>
      </w:r>
      <w:r w:rsidR="001B3A48">
        <w:rPr>
          <w:rFonts w:ascii="Titillium Web" w:hAnsi="Titillium Web" w:cs="Times New Roman"/>
          <w:b/>
          <w:bCs/>
          <w:sz w:val="23"/>
          <w:szCs w:val="23"/>
        </w:rPr>
        <w:t xml:space="preserve"> </w:t>
      </w:r>
      <w:r w:rsidRPr="00644F23">
        <w:rPr>
          <w:rFonts w:ascii="Titillium Web" w:hAnsi="Titillium Web" w:cs="Times New Roman"/>
          <w:b/>
          <w:bCs/>
          <w:sz w:val="23"/>
          <w:szCs w:val="23"/>
        </w:rPr>
        <w:t>longitudinale online rappresentativo della popolazione italiana che permette di monitorare in tempo reale e con continuità i mutamenti nei valori, negli atteggiamenti e nelle condizioni </w:t>
      </w:r>
      <w:proofErr w:type="gramStart"/>
      <w:r w:rsidRPr="00644F23">
        <w:rPr>
          <w:rFonts w:ascii="Titillium Web" w:hAnsi="Titillium Web" w:cs="Times New Roman"/>
          <w:b/>
          <w:bCs/>
          <w:sz w:val="23"/>
          <w:szCs w:val="23"/>
        </w:rPr>
        <w:t>socio-demografiche</w:t>
      </w:r>
      <w:proofErr w:type="gramEnd"/>
      <w:r w:rsidRPr="00644F23">
        <w:rPr>
          <w:rFonts w:ascii="Titillium Web" w:hAnsi="Titillium Web" w:cs="Times New Roman"/>
          <w:b/>
          <w:bCs/>
          <w:sz w:val="23"/>
          <w:szCs w:val="23"/>
        </w:rPr>
        <w:t>.</w:t>
      </w:r>
      <w:r w:rsidRPr="00644F23">
        <w:rPr>
          <w:rFonts w:ascii="Titillium Web" w:hAnsi="Titillium Web" w:cs="Times New Roman"/>
          <w:sz w:val="23"/>
          <w:szCs w:val="23"/>
        </w:rPr>
        <w:t> </w:t>
      </w:r>
    </w:p>
    <w:p w14:paraId="37E4FE71" w14:textId="77777777" w:rsidR="00644F23" w:rsidRPr="001B3A48" w:rsidRDefault="00644F23" w:rsidP="001B3A48">
      <w:pPr>
        <w:widowControl w:val="0"/>
        <w:spacing w:line="192" w:lineRule="auto"/>
        <w:jc w:val="both"/>
        <w:rPr>
          <w:rFonts w:ascii="Titillium Web" w:hAnsi="Titillium Web" w:cs="Times New Roman"/>
          <w:sz w:val="23"/>
          <w:szCs w:val="23"/>
        </w:rPr>
      </w:pPr>
    </w:p>
    <w:p w14:paraId="5048F21E" w14:textId="77777777" w:rsidR="00644F23" w:rsidRPr="001B3A48" w:rsidRDefault="00644F23" w:rsidP="001B3A48">
      <w:pPr>
        <w:widowControl w:val="0"/>
        <w:spacing w:line="192" w:lineRule="auto"/>
        <w:jc w:val="both"/>
        <w:rPr>
          <w:rFonts w:ascii="Titillium Web" w:hAnsi="Titillium Web" w:cs="Times New Roman"/>
          <w:sz w:val="23"/>
          <w:szCs w:val="23"/>
        </w:rPr>
      </w:pPr>
      <w:r w:rsidRPr="00644F23">
        <w:rPr>
          <w:rFonts w:ascii="Titillium Web" w:hAnsi="Titillium Web" w:cs="Times New Roman"/>
          <w:sz w:val="23"/>
          <w:szCs w:val="23"/>
        </w:rPr>
        <w:t>Nato da una collaborazione fra l’Istituto di Ricerche sulla Popolazione e le Politiche Sciali del CNR e il Laboratorio SPS Trend dell’Università Statale di Milano, IOPP segna per il nostro Paese un importante passo avanti, perché fornisce a comunità scientifica, decisori politici e cittadinanza dati di alta qualità ed elevata frequenza temporale sulla popolazione allineando l’Italia agli altri contesti europei già dotati di infrastrutture simili. Inoltre, ricercatori, comunità scientifica e istituzioni possono usufruire di IOPP per sottoporre questionari e quesiti di ricerca al panel probabilistico, attraverso un sistema di open call. </w:t>
      </w:r>
    </w:p>
    <w:p w14:paraId="73E0D090" w14:textId="77777777" w:rsidR="00644F23" w:rsidRPr="001B3A48" w:rsidRDefault="00644F23" w:rsidP="001B3A48">
      <w:pPr>
        <w:widowControl w:val="0"/>
        <w:spacing w:line="192" w:lineRule="auto"/>
        <w:jc w:val="both"/>
        <w:rPr>
          <w:rFonts w:ascii="Titillium Web" w:hAnsi="Titillium Web" w:cs="Times New Roman"/>
          <w:sz w:val="23"/>
          <w:szCs w:val="23"/>
        </w:rPr>
      </w:pPr>
    </w:p>
    <w:p w14:paraId="15BCE571" w14:textId="197D382D" w:rsidR="00644F23" w:rsidRPr="00644F23" w:rsidRDefault="00644F23" w:rsidP="001B3A48">
      <w:pPr>
        <w:widowControl w:val="0"/>
        <w:spacing w:line="192" w:lineRule="auto"/>
        <w:jc w:val="both"/>
        <w:rPr>
          <w:rFonts w:ascii="Titillium Web" w:hAnsi="Titillium Web" w:cs="Times New Roman"/>
          <w:sz w:val="23"/>
          <w:szCs w:val="23"/>
        </w:rPr>
      </w:pPr>
      <w:r w:rsidRPr="00644F23">
        <w:rPr>
          <w:rFonts w:ascii="Titillium Web" w:hAnsi="Titillium Web" w:cs="Times New Roman"/>
          <w:b/>
          <w:bCs/>
          <w:sz w:val="23"/>
          <w:szCs w:val="23"/>
        </w:rPr>
        <w:t>L’evento si pone a conclusione di due anni di lavoro realizzati nell’ambito del progetto FOSSR, coordinato dal CNR  e finanziato dal Piano Nazionale di Ripresa e Resilienza (PNRR),</w:t>
      </w:r>
      <w:r w:rsidRPr="00644F23">
        <w:rPr>
          <w:rFonts w:ascii="Titillium Web" w:hAnsi="Titillium Web" w:cs="Times New Roman"/>
          <w:sz w:val="23"/>
          <w:szCs w:val="23"/>
        </w:rPr>
        <w:t> nel corso dei quali, oltre alla nascita di IOPP, sono state condotte, in parallelo, tre importanti indagini internazionali: </w:t>
      </w:r>
      <w:hyperlink r:id="rId7" w:tgtFrame="_blank" w:history="1">
        <w:r w:rsidRPr="00644F23">
          <w:rPr>
            <w:rStyle w:val="Collegamentoipertestuale"/>
            <w:rFonts w:ascii="Titillium Web" w:hAnsi="Titillium Web" w:cs="Times New Roman"/>
            <w:sz w:val="23"/>
            <w:szCs w:val="23"/>
          </w:rPr>
          <w:t>Generation &amp; gender Survey (GGS)</w:t>
        </w:r>
      </w:hyperlink>
      <w:r w:rsidRPr="00644F23">
        <w:rPr>
          <w:rFonts w:ascii="Titillium Web" w:hAnsi="Titillium Web" w:cs="Times New Roman"/>
          <w:sz w:val="23"/>
          <w:szCs w:val="23"/>
        </w:rPr>
        <w:t> con l’Università Bocconi, </w:t>
      </w:r>
      <w:hyperlink r:id="rId8" w:tgtFrame="_blank" w:history="1">
        <w:r w:rsidRPr="00644F23">
          <w:rPr>
            <w:rStyle w:val="Collegamentoipertestuale"/>
            <w:rFonts w:ascii="Titillium Web" w:hAnsi="Titillium Web" w:cs="Times New Roman"/>
            <w:sz w:val="23"/>
            <w:szCs w:val="23"/>
          </w:rPr>
          <w:t>Survey of Health, </w:t>
        </w:r>
        <w:proofErr w:type="spellStart"/>
        <w:r w:rsidRPr="00644F23">
          <w:rPr>
            <w:rStyle w:val="Collegamentoipertestuale"/>
            <w:rFonts w:ascii="Titillium Web" w:hAnsi="Titillium Web" w:cs="Times New Roman"/>
            <w:sz w:val="23"/>
            <w:szCs w:val="23"/>
          </w:rPr>
          <w:t>Ageing</w:t>
        </w:r>
        <w:proofErr w:type="spellEnd"/>
        <w:r w:rsidRPr="00644F23">
          <w:rPr>
            <w:rStyle w:val="Collegamentoipertestuale"/>
            <w:rFonts w:ascii="Titillium Web" w:hAnsi="Titillium Web" w:cs="Times New Roman"/>
            <w:sz w:val="23"/>
            <w:szCs w:val="23"/>
          </w:rPr>
          <w:t> and </w:t>
        </w:r>
        <w:proofErr w:type="spellStart"/>
        <w:r w:rsidRPr="00644F23">
          <w:rPr>
            <w:rStyle w:val="Collegamentoipertestuale"/>
            <w:rFonts w:ascii="Titillium Web" w:hAnsi="Titillium Web" w:cs="Times New Roman"/>
            <w:sz w:val="23"/>
            <w:szCs w:val="23"/>
          </w:rPr>
          <w:t>Retirement</w:t>
        </w:r>
        <w:proofErr w:type="spellEnd"/>
        <w:r w:rsidRPr="00644F23">
          <w:rPr>
            <w:rStyle w:val="Collegamentoipertestuale"/>
            <w:rFonts w:ascii="Titillium Web" w:hAnsi="Titillium Web" w:cs="Times New Roman"/>
            <w:sz w:val="23"/>
            <w:szCs w:val="23"/>
          </w:rPr>
          <w:t> in Europe (SHARE)</w:t>
        </w:r>
      </w:hyperlink>
      <w:r w:rsidRPr="00644F23">
        <w:rPr>
          <w:rFonts w:ascii="Titillium Web" w:hAnsi="Titillium Web" w:cs="Times New Roman"/>
          <w:sz w:val="23"/>
          <w:szCs w:val="23"/>
        </w:rPr>
        <w:t> con l’Università di Padova e </w:t>
      </w:r>
      <w:proofErr w:type="spellStart"/>
      <w:r w:rsidRPr="00644F23">
        <w:rPr>
          <w:rFonts w:ascii="Titillium Web" w:hAnsi="Titillium Web" w:cs="Times New Roman"/>
          <w:sz w:val="23"/>
          <w:szCs w:val="23"/>
        </w:rPr>
        <w:fldChar w:fldCharType="begin"/>
      </w:r>
      <w:r w:rsidRPr="00644F23">
        <w:rPr>
          <w:rFonts w:ascii="Titillium Web" w:hAnsi="Titillium Web" w:cs="Times New Roman"/>
          <w:sz w:val="23"/>
          <w:szCs w:val="23"/>
        </w:rPr>
        <w:instrText>HYPERLINK "https://www.fossr.eu/guideitalia/" \t "_blank"</w:instrText>
      </w:r>
      <w:r w:rsidRPr="00644F23">
        <w:rPr>
          <w:rFonts w:ascii="Titillium Web" w:hAnsi="Titillium Web" w:cs="Times New Roman"/>
          <w:sz w:val="23"/>
          <w:szCs w:val="23"/>
        </w:rPr>
      </w:r>
      <w:r w:rsidRPr="00644F23">
        <w:rPr>
          <w:rFonts w:ascii="Titillium Web" w:hAnsi="Titillium Web" w:cs="Times New Roman"/>
          <w:sz w:val="23"/>
          <w:szCs w:val="23"/>
        </w:rPr>
        <w:fldChar w:fldCharType="separate"/>
      </w:r>
      <w:r w:rsidRPr="00644F23">
        <w:rPr>
          <w:rStyle w:val="Collegamentoipertestuale"/>
          <w:rFonts w:ascii="Titillium Web" w:hAnsi="Titillium Web" w:cs="Times New Roman"/>
          <w:sz w:val="23"/>
          <w:szCs w:val="23"/>
        </w:rPr>
        <w:t>Growing</w:t>
      </w:r>
      <w:proofErr w:type="spellEnd"/>
      <w:r w:rsidRPr="00644F23">
        <w:rPr>
          <w:rStyle w:val="Collegamentoipertestuale"/>
          <w:rFonts w:ascii="Titillium Web" w:hAnsi="Titillium Web" w:cs="Times New Roman"/>
          <w:sz w:val="23"/>
          <w:szCs w:val="23"/>
        </w:rPr>
        <w:t> Up in Digital Europe  (GUIDE)</w:t>
      </w:r>
      <w:r w:rsidRPr="00644F23">
        <w:rPr>
          <w:rFonts w:ascii="Titillium Web" w:hAnsi="Titillium Web" w:cs="Times New Roman"/>
          <w:sz w:val="23"/>
          <w:szCs w:val="23"/>
        </w:rPr>
        <w:fldChar w:fldCharType="end"/>
      </w:r>
      <w:r w:rsidRPr="00644F23">
        <w:rPr>
          <w:rFonts w:ascii="Titillium Web" w:hAnsi="Titillium Web" w:cs="Times New Roman"/>
          <w:sz w:val="23"/>
          <w:szCs w:val="23"/>
        </w:rPr>
        <w:t> con l’Università di Bologna. Questa rilevante collaborazione </w:t>
      </w:r>
      <w:proofErr w:type="gramStart"/>
      <w:r w:rsidRPr="00644F23">
        <w:rPr>
          <w:rFonts w:ascii="Titillium Web" w:hAnsi="Titillium Web" w:cs="Times New Roman"/>
          <w:sz w:val="23"/>
          <w:szCs w:val="23"/>
        </w:rPr>
        <w:t>inter-istituzionale</w:t>
      </w:r>
      <w:proofErr w:type="gramEnd"/>
      <w:r w:rsidRPr="00644F23">
        <w:rPr>
          <w:rFonts w:ascii="Titillium Web" w:hAnsi="Titillium Web" w:cs="Times New Roman"/>
          <w:sz w:val="23"/>
          <w:szCs w:val="23"/>
        </w:rPr>
        <w:t> ha consentito di raccogliere dati sulla popolazione italiana lungo tutto l’arco della vita.  </w:t>
      </w:r>
    </w:p>
    <w:p w14:paraId="6AEB425D" w14:textId="77777777" w:rsidR="00644F23" w:rsidRPr="001B3A48" w:rsidRDefault="00644F23" w:rsidP="001B3A48">
      <w:pPr>
        <w:widowControl w:val="0"/>
        <w:spacing w:line="192" w:lineRule="auto"/>
        <w:jc w:val="both"/>
        <w:rPr>
          <w:rFonts w:ascii="Titillium Web" w:hAnsi="Titillium Web" w:cs="Times New Roman"/>
          <w:sz w:val="23"/>
          <w:szCs w:val="23"/>
        </w:rPr>
      </w:pPr>
    </w:p>
    <w:p w14:paraId="26D2B57F" w14:textId="2A7E9FA3" w:rsidR="00644F23" w:rsidRPr="001B3A48" w:rsidRDefault="00644F23" w:rsidP="001B3A48">
      <w:pPr>
        <w:widowControl w:val="0"/>
        <w:spacing w:line="192" w:lineRule="auto"/>
        <w:jc w:val="both"/>
        <w:rPr>
          <w:rFonts w:ascii="Titillium Web" w:hAnsi="Titillium Web" w:cs="Times New Roman"/>
          <w:b/>
          <w:bCs/>
          <w:sz w:val="23"/>
          <w:szCs w:val="23"/>
        </w:rPr>
      </w:pPr>
      <w:r w:rsidRPr="00644F23">
        <w:rPr>
          <w:rFonts w:ascii="Titillium Web" w:hAnsi="Titillium Web" w:cs="Times New Roman"/>
          <w:sz w:val="23"/>
          <w:szCs w:val="23"/>
        </w:rPr>
        <w:t>Nel corso dell’evento, oltre a illustrare i primi risultati emersi, si promuoverà una riflessione sulle potenzialità che un ecosistema di quattro grandi indagini armonizzate capaci di restituire uno sguardo integrato sulla popolazione italiana dall'infanzia alla terza età (IOPP, GGS, SHARE e GUIDE), potrebbe offrire al mondo della ricerca e alla programmazione delle politiche pubbliche. </w:t>
      </w:r>
      <w:r w:rsidRPr="00644F23">
        <w:rPr>
          <w:rFonts w:ascii="Titillium Web" w:hAnsi="Titillium Web" w:cs="Times New Roman"/>
          <w:i/>
          <w:iCs/>
          <w:sz w:val="23"/>
          <w:szCs w:val="23"/>
        </w:rPr>
        <w:t>«Con FOSSR abbiamo posto le prime basi per un osservatorio permanente sulla popolazione italiana. Ora si tratta di investire su questa infrastruttura: il potenziale per la comunità scientifica, per le istituzioni e per la cittadinanza è enorme»</w:t>
      </w:r>
      <w:r w:rsidRPr="00644F23">
        <w:rPr>
          <w:rFonts w:ascii="Titillium Web" w:hAnsi="Titillium Web" w:cs="Times New Roman"/>
          <w:sz w:val="23"/>
          <w:szCs w:val="23"/>
        </w:rPr>
        <w:t>, sottolinea Loredana Cerbara (CNR IRPPS), coordinatrice della linea di attività che nell’ambito di FOSSR ha consentito di realizzare le 4 indagini. All’evento</w:t>
      </w:r>
      <w:r w:rsidRPr="001B3A48">
        <w:rPr>
          <w:rFonts w:ascii="Titillium Web" w:hAnsi="Titillium Web" w:cs="Times New Roman"/>
          <w:sz w:val="23"/>
          <w:szCs w:val="23"/>
        </w:rPr>
        <w:t xml:space="preserve"> </w:t>
      </w:r>
      <w:r w:rsidRPr="00644F23">
        <w:rPr>
          <w:rFonts w:ascii="Titillium Web" w:hAnsi="Titillium Web" w:cs="Times New Roman"/>
          <w:sz w:val="23"/>
          <w:szCs w:val="23"/>
        </w:rPr>
        <w:t>prederanno parte i referenti nazionali ed europei delle quattro</w:t>
      </w:r>
      <w:r w:rsidRPr="001B3A48">
        <w:rPr>
          <w:rFonts w:ascii="Titillium Web" w:hAnsi="Titillium Web" w:cs="Times New Roman"/>
          <w:sz w:val="23"/>
          <w:szCs w:val="23"/>
        </w:rPr>
        <w:t xml:space="preserve"> </w:t>
      </w:r>
      <w:r w:rsidRPr="00644F23">
        <w:rPr>
          <w:rFonts w:ascii="Titillium Web" w:hAnsi="Titillium Web" w:cs="Times New Roman"/>
          <w:sz w:val="23"/>
          <w:szCs w:val="23"/>
        </w:rPr>
        <w:t>indagini insieme a rappresentanti delle istituzioni italiane. </w:t>
      </w:r>
      <w:r w:rsidRPr="00644F23">
        <w:rPr>
          <w:rFonts w:ascii="Titillium Web" w:hAnsi="Titillium Web" w:cs="Times New Roman"/>
          <w:b/>
          <w:bCs/>
          <w:sz w:val="23"/>
          <w:szCs w:val="23"/>
        </w:rPr>
        <w:t>L'appuntamento è aperto a università, centri di ricerca, policy maker, imprese e associazioni, e a tutti gli stakeholder che vogli</w:t>
      </w:r>
      <w:r w:rsidR="00463FBC">
        <w:rPr>
          <w:rFonts w:ascii="Titillium Web" w:hAnsi="Titillium Web" w:cs="Times New Roman"/>
          <w:b/>
          <w:bCs/>
          <w:sz w:val="23"/>
          <w:szCs w:val="23"/>
        </w:rPr>
        <w:t>a</w:t>
      </w:r>
      <w:r w:rsidRPr="00644F23">
        <w:rPr>
          <w:rFonts w:ascii="Titillium Web" w:hAnsi="Titillium Web" w:cs="Times New Roman"/>
          <w:b/>
          <w:bCs/>
          <w:sz w:val="23"/>
          <w:szCs w:val="23"/>
        </w:rPr>
        <w:t>no essere protagonisti di questa opportunità. </w:t>
      </w:r>
    </w:p>
    <w:p w14:paraId="42029EC2" w14:textId="77777777" w:rsidR="00644F23" w:rsidRPr="001B3A48" w:rsidRDefault="00644F23" w:rsidP="001B3A48">
      <w:pPr>
        <w:widowControl w:val="0"/>
        <w:spacing w:line="192" w:lineRule="auto"/>
        <w:jc w:val="both"/>
        <w:rPr>
          <w:rFonts w:ascii="Titillium Web" w:hAnsi="Titillium Web" w:cs="Times New Roman"/>
          <w:sz w:val="23"/>
          <w:szCs w:val="23"/>
        </w:rPr>
      </w:pPr>
    </w:p>
    <w:p w14:paraId="6E77000E" w14:textId="6C8EEED7" w:rsidR="00644F23" w:rsidRPr="001B3A48" w:rsidRDefault="00644F23" w:rsidP="001B3A48">
      <w:pPr>
        <w:widowControl w:val="0"/>
        <w:spacing w:line="192" w:lineRule="auto"/>
        <w:jc w:val="both"/>
        <w:rPr>
          <w:rFonts w:ascii="Titillium Web" w:hAnsi="Titillium Web" w:cs="Times New Roman"/>
          <w:b/>
          <w:bCs/>
          <w:sz w:val="23"/>
          <w:szCs w:val="23"/>
        </w:rPr>
      </w:pPr>
      <w:r w:rsidRPr="001B3A48">
        <w:rPr>
          <w:rFonts w:ascii="Titillium Web" w:hAnsi="Titillium Web" w:cs="Times New Roman"/>
          <w:b/>
          <w:bCs/>
          <w:sz w:val="23"/>
          <w:szCs w:val="23"/>
        </w:rPr>
        <w:t>M</w:t>
      </w:r>
      <w:r w:rsidRPr="00644F23">
        <w:rPr>
          <w:rFonts w:ascii="Titillium Web" w:hAnsi="Titillium Web" w:cs="Times New Roman"/>
          <w:b/>
          <w:bCs/>
          <w:sz w:val="23"/>
          <w:szCs w:val="23"/>
        </w:rPr>
        <w:t>aggiori informazioni e agenda</w:t>
      </w:r>
      <w:r w:rsidRPr="001B3A48">
        <w:rPr>
          <w:rFonts w:ascii="Titillium Web" w:hAnsi="Titillium Web" w:cs="Times New Roman"/>
          <w:b/>
          <w:bCs/>
          <w:sz w:val="23"/>
          <w:szCs w:val="23"/>
        </w:rPr>
        <w:t xml:space="preserve">: </w:t>
      </w:r>
      <w:hyperlink r:id="rId9" w:history="1">
        <w:r w:rsidRPr="001B3A48">
          <w:rPr>
            <w:rStyle w:val="Collegamentoipertestuale"/>
            <w:rFonts w:ascii="Titillium Web" w:hAnsi="Titillium Web" w:cs="Times New Roman"/>
            <w:b/>
            <w:bCs/>
            <w:sz w:val="23"/>
            <w:szCs w:val="23"/>
          </w:rPr>
          <w:t>https://fossr.eu/eventi/fossr-iopp-presentation</w:t>
        </w:r>
      </w:hyperlink>
    </w:p>
    <w:p w14:paraId="43045E2D" w14:textId="4D7DCEE5" w:rsidR="00644F23" w:rsidRPr="00644F23" w:rsidRDefault="00644F23" w:rsidP="001B3A48">
      <w:pPr>
        <w:widowControl w:val="0"/>
        <w:spacing w:line="192" w:lineRule="auto"/>
        <w:jc w:val="both"/>
        <w:rPr>
          <w:rFonts w:ascii="Titillium Web" w:hAnsi="Titillium Web" w:cs="Times New Roman"/>
          <w:sz w:val="23"/>
          <w:szCs w:val="23"/>
        </w:rPr>
      </w:pPr>
      <w:r w:rsidRPr="001B3A48">
        <w:rPr>
          <w:rFonts w:ascii="Titillium Web" w:hAnsi="Titillium Web" w:cs="Times New Roman"/>
          <w:sz w:val="23"/>
          <w:szCs w:val="23"/>
        </w:rPr>
        <w:t xml:space="preserve">  </w:t>
      </w:r>
    </w:p>
    <w:p w14:paraId="199DCB4D" w14:textId="77777777" w:rsidR="00644F23" w:rsidRPr="00644F23" w:rsidRDefault="00644F23" w:rsidP="001B3A48">
      <w:pPr>
        <w:widowControl w:val="0"/>
        <w:spacing w:line="192" w:lineRule="auto"/>
        <w:jc w:val="both"/>
        <w:rPr>
          <w:rFonts w:ascii="Titillium Web" w:hAnsi="Titillium Web" w:cs="Times New Roman"/>
          <w:sz w:val="23"/>
          <w:szCs w:val="23"/>
        </w:rPr>
      </w:pPr>
      <w:r w:rsidRPr="00644F23">
        <w:rPr>
          <w:rFonts w:ascii="Titillium Web" w:hAnsi="Titillium Web" w:cs="Times New Roman"/>
          <w:sz w:val="23"/>
          <w:szCs w:val="23"/>
        </w:rPr>
        <w:t>L’evento potrà essere seguito in presenza, fino ad esaurimento posti, e da remoto. </w:t>
      </w:r>
    </w:p>
    <w:p w14:paraId="6C29A9B3" w14:textId="77777777" w:rsidR="00644F23" w:rsidRPr="001B3A48" w:rsidRDefault="00644F23" w:rsidP="001B3A48">
      <w:pPr>
        <w:widowControl w:val="0"/>
        <w:spacing w:line="192" w:lineRule="auto"/>
        <w:jc w:val="both"/>
        <w:rPr>
          <w:rFonts w:ascii="Titillium Web" w:hAnsi="Titillium Web" w:cs="Times New Roman"/>
          <w:sz w:val="23"/>
          <w:szCs w:val="23"/>
        </w:rPr>
      </w:pPr>
    </w:p>
    <w:p w14:paraId="558D127A" w14:textId="23040467" w:rsidR="00644F23" w:rsidRPr="00644F23" w:rsidRDefault="00644F23" w:rsidP="001B3A48">
      <w:pPr>
        <w:widowControl w:val="0"/>
        <w:spacing w:line="192" w:lineRule="auto"/>
        <w:jc w:val="both"/>
        <w:rPr>
          <w:rFonts w:ascii="Titillium Web" w:hAnsi="Titillium Web" w:cs="Times New Roman"/>
          <w:b/>
          <w:bCs/>
          <w:sz w:val="23"/>
          <w:szCs w:val="23"/>
        </w:rPr>
      </w:pPr>
      <w:r w:rsidRPr="00644F23">
        <w:rPr>
          <w:rFonts w:ascii="Titillium Web" w:hAnsi="Titillium Web" w:cs="Times New Roman"/>
          <w:b/>
          <w:bCs/>
          <w:sz w:val="23"/>
          <w:szCs w:val="23"/>
        </w:rPr>
        <w:t>Registrazione al link: </w:t>
      </w:r>
      <w:hyperlink r:id="rId10" w:tgtFrame="_blank" w:history="1">
        <w:r w:rsidRPr="00644F23">
          <w:rPr>
            <w:rStyle w:val="Collegamentoipertestuale"/>
            <w:rFonts w:ascii="Titillium Web" w:hAnsi="Titillium Web" w:cs="Times New Roman"/>
            <w:b/>
            <w:bCs/>
            <w:sz w:val="23"/>
            <w:szCs w:val="23"/>
          </w:rPr>
          <w:t>https://l.cnr.it/fossr-iopp-presentation-27-apr-2026</w:t>
        </w:r>
      </w:hyperlink>
      <w:r w:rsidRPr="00644F23">
        <w:rPr>
          <w:rFonts w:ascii="Titillium Web" w:hAnsi="Titillium Web" w:cs="Times New Roman"/>
          <w:b/>
          <w:bCs/>
          <w:sz w:val="23"/>
          <w:szCs w:val="23"/>
        </w:rPr>
        <w:t> </w:t>
      </w:r>
    </w:p>
    <w:p w14:paraId="200AB36E" w14:textId="77777777" w:rsidR="00644F23" w:rsidRPr="00644F23" w:rsidRDefault="00644F23" w:rsidP="001B3A48">
      <w:pPr>
        <w:widowControl w:val="0"/>
        <w:spacing w:line="192" w:lineRule="auto"/>
        <w:jc w:val="both"/>
        <w:rPr>
          <w:rFonts w:ascii="Titillium Web" w:hAnsi="Titillium Web" w:cs="Times New Roman"/>
          <w:sz w:val="23"/>
          <w:szCs w:val="23"/>
        </w:rPr>
      </w:pPr>
      <w:r w:rsidRPr="00644F23">
        <w:rPr>
          <w:rFonts w:ascii="Titillium Web" w:hAnsi="Titillium Web" w:cs="Times New Roman"/>
          <w:sz w:val="23"/>
          <w:szCs w:val="23"/>
        </w:rPr>
        <w:t> </w:t>
      </w:r>
    </w:p>
    <w:p w14:paraId="7F35D9E3" w14:textId="0DCDA1CA" w:rsidR="00AC5446" w:rsidRPr="00DF3460" w:rsidRDefault="00644F23" w:rsidP="001B3A48">
      <w:pPr>
        <w:widowControl w:val="0"/>
        <w:spacing w:line="192" w:lineRule="auto"/>
        <w:jc w:val="both"/>
        <w:rPr>
          <w:rFonts w:ascii="Titillium Web" w:eastAsia="Times New Roman" w:hAnsi="Titillium Web" w:cs="Open Sans"/>
          <w:i/>
          <w:iCs/>
          <w:color w:val="000000"/>
          <w:sz w:val="21"/>
          <w:szCs w:val="21"/>
          <w:shd w:val="clear" w:color="auto" w:fill="FFFFFF"/>
          <w:lang w:eastAsia="it-IT"/>
        </w:rPr>
      </w:pPr>
      <w:r w:rsidRPr="00644F23">
        <w:rPr>
          <w:rFonts w:ascii="Titillium Web" w:hAnsi="Titillium Web" w:cs="Times New Roman"/>
          <w:i/>
          <w:iCs/>
          <w:sz w:val="23"/>
          <w:szCs w:val="23"/>
        </w:rPr>
        <w:t>L’evento si inserisce nelle attività formative promosse da FOSSR. Su richiesta verrà rilasciato un attestato di frequenza, valido per il riconoscimento dei crediti formativi</w:t>
      </w:r>
      <w:r w:rsidRPr="001B3A48">
        <w:rPr>
          <w:rFonts w:ascii="Titillium Web" w:hAnsi="Titillium Web" w:cs="Times New Roman"/>
          <w:i/>
          <w:iCs/>
          <w:sz w:val="23"/>
          <w:szCs w:val="23"/>
        </w:rPr>
        <w:t>.</w:t>
      </w:r>
      <w:r w:rsidRPr="00644F23">
        <w:rPr>
          <w:rFonts w:ascii="Titillium Web" w:hAnsi="Titillium Web" w:cs="Times New Roman"/>
          <w:sz w:val="23"/>
          <w:szCs w:val="23"/>
        </w:rPr>
        <w:t> </w:t>
      </w:r>
    </w:p>
    <w:sectPr w:rsidR="00AC5446" w:rsidRPr="00DF3460" w:rsidSect="001B3A48">
      <w:headerReference w:type="default" r:id="rId11"/>
      <w:footerReference w:type="default" r:id="rId12"/>
      <w:pgSz w:w="11900" w:h="16840"/>
      <w:pgMar w:top="1179" w:right="703" w:bottom="1049" w:left="703" w:header="2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6FA3B" w14:textId="77777777" w:rsidR="00C43DD1" w:rsidRDefault="00C43DD1" w:rsidP="000151A3">
      <w:r>
        <w:separator/>
      </w:r>
    </w:p>
  </w:endnote>
  <w:endnote w:type="continuationSeparator" w:id="0">
    <w:p w14:paraId="5097E51F" w14:textId="77777777" w:rsidR="00C43DD1" w:rsidRDefault="00C43DD1" w:rsidP="0001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eb">
    <w:charset w:val="00"/>
    <w:family w:val="auto"/>
    <w:pitch w:val="variable"/>
    <w:sig w:usb0="00000007" w:usb1="00000001" w:usb2="00000000" w:usb3="00000000" w:csb0="00000093"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FC052" w14:textId="579C090C" w:rsidR="000151A3" w:rsidRDefault="00EC649A" w:rsidP="000151A3">
    <w:pPr>
      <w:pStyle w:val="Pidipagina"/>
      <w:tabs>
        <w:tab w:val="clear" w:pos="9638"/>
      </w:tabs>
      <w:ind w:left="-1134"/>
    </w:pPr>
    <w:r>
      <w:rPr>
        <w:noProof/>
        <w:lang w:val="fr-FR"/>
      </w:rPr>
      <w:drawing>
        <wp:anchor distT="0" distB="0" distL="114300" distR="114300" simplePos="0" relativeHeight="251659264" behindDoc="0" locked="0" layoutInCell="1" allowOverlap="1" wp14:anchorId="54A0CE20" wp14:editId="61C32756">
          <wp:simplePos x="0" y="0"/>
          <wp:positionH relativeFrom="column">
            <wp:posOffset>-303530</wp:posOffset>
          </wp:positionH>
          <wp:positionV relativeFrom="page">
            <wp:posOffset>10093325</wp:posOffset>
          </wp:positionV>
          <wp:extent cx="1371600" cy="364490"/>
          <wp:effectExtent l="0" t="0" r="0" b="0"/>
          <wp:wrapNone/>
          <wp:docPr id="728332050" name="Immagine 728332050" descr="Immagine che contiene testo, segnal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 segnale&#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371600" cy="3644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152BAA1B" wp14:editId="1813E92E">
          <wp:simplePos x="0" y="0"/>
          <wp:positionH relativeFrom="column">
            <wp:posOffset>5025390</wp:posOffset>
          </wp:positionH>
          <wp:positionV relativeFrom="paragraph">
            <wp:posOffset>335915</wp:posOffset>
          </wp:positionV>
          <wp:extent cx="1416685" cy="535305"/>
          <wp:effectExtent l="0" t="0" r="0" b="0"/>
          <wp:wrapNone/>
          <wp:docPr id="951860519" name="Immagine 951860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6685" cy="535305"/>
                  </a:xfrm>
                  <a:prstGeom prst="rect">
                    <a:avLst/>
                  </a:prstGeom>
                  <a:noFill/>
                </pic:spPr>
              </pic:pic>
            </a:graphicData>
          </a:graphic>
          <wp14:sizeRelH relativeFrom="page">
            <wp14:pctWidth>0</wp14:pctWidth>
          </wp14:sizeRelH>
          <wp14:sizeRelV relativeFrom="page">
            <wp14:pctHeight>0</wp14:pctHeight>
          </wp14:sizeRelV>
        </wp:anchor>
      </w:drawing>
    </w:r>
    <w:r w:rsidR="00DD7D82" w:rsidRPr="00DD7D82">
      <w:rPr>
        <w:noProof/>
        <w:lang w:val="fr-FR"/>
      </w:rPr>
      <w:t xml:space="preserve"> </w:t>
    </w:r>
    <w:r w:rsidR="00B0269C">
      <w:rPr>
        <w:noProof/>
      </w:rPr>
      <w:drawing>
        <wp:inline distT="0" distB="0" distL="0" distR="0" wp14:anchorId="66B9A2DE" wp14:editId="264C88A9">
          <wp:extent cx="7877175" cy="839979"/>
          <wp:effectExtent l="0" t="0" r="0" b="0"/>
          <wp:docPr id="502410062" name="Immagine 502410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rotWithShape="1">
                  <a:blip r:embed="rId3">
                    <a:extLst>
                      <a:ext uri="{28A0092B-C50C-407E-A947-70E740481C1C}">
                        <a14:useLocalDpi xmlns:a14="http://schemas.microsoft.com/office/drawing/2010/main" val="0"/>
                      </a:ext>
                    </a:extLst>
                  </a:blip>
                  <a:srcRect t="32512"/>
                  <a:stretch>
                    <a:fillRect/>
                  </a:stretch>
                </pic:blipFill>
                <pic:spPr bwMode="auto">
                  <a:xfrm>
                    <a:off x="0" y="0"/>
                    <a:ext cx="8031590" cy="856445"/>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FB6CE" w14:textId="77777777" w:rsidR="00C43DD1" w:rsidRDefault="00C43DD1" w:rsidP="000151A3">
      <w:r>
        <w:separator/>
      </w:r>
    </w:p>
  </w:footnote>
  <w:footnote w:type="continuationSeparator" w:id="0">
    <w:p w14:paraId="7CC4235F" w14:textId="77777777" w:rsidR="00C43DD1" w:rsidRDefault="00C43DD1" w:rsidP="00015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C1B6A" w14:textId="0AF3DE0B" w:rsidR="000151A3" w:rsidRDefault="00931B68" w:rsidP="000151A3">
    <w:pPr>
      <w:pStyle w:val="Intestazione"/>
      <w:tabs>
        <w:tab w:val="clear" w:pos="9638"/>
      </w:tabs>
      <w:ind w:left="-1134" w:right="-1134"/>
    </w:pPr>
    <w:r>
      <w:rPr>
        <w:noProof/>
      </w:rPr>
      <w:drawing>
        <wp:inline distT="0" distB="0" distL="0" distR="0" wp14:anchorId="4899F2E2" wp14:editId="64532C6D">
          <wp:extent cx="7813364" cy="1221105"/>
          <wp:effectExtent l="0" t="0" r="0" b="0"/>
          <wp:docPr id="2110536054" name="Immagine 2110536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7821188" cy="122232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1A3"/>
    <w:rsid w:val="000151A3"/>
    <w:rsid w:val="00124132"/>
    <w:rsid w:val="001B3A48"/>
    <w:rsid w:val="00216DE4"/>
    <w:rsid w:val="00246D2C"/>
    <w:rsid w:val="00392108"/>
    <w:rsid w:val="00393E17"/>
    <w:rsid w:val="003E33E3"/>
    <w:rsid w:val="00463FBC"/>
    <w:rsid w:val="00474406"/>
    <w:rsid w:val="004B0F86"/>
    <w:rsid w:val="004F7775"/>
    <w:rsid w:val="00546059"/>
    <w:rsid w:val="00644F23"/>
    <w:rsid w:val="006B0A83"/>
    <w:rsid w:val="007546D0"/>
    <w:rsid w:val="007A47DE"/>
    <w:rsid w:val="00821EFF"/>
    <w:rsid w:val="0083020A"/>
    <w:rsid w:val="00863788"/>
    <w:rsid w:val="008928DB"/>
    <w:rsid w:val="00931B68"/>
    <w:rsid w:val="00975552"/>
    <w:rsid w:val="009A4F52"/>
    <w:rsid w:val="009F2615"/>
    <w:rsid w:val="00A1175F"/>
    <w:rsid w:val="00A14EAD"/>
    <w:rsid w:val="00A358EB"/>
    <w:rsid w:val="00AA1B90"/>
    <w:rsid w:val="00AB7B97"/>
    <w:rsid w:val="00AC5446"/>
    <w:rsid w:val="00AC554D"/>
    <w:rsid w:val="00B0269C"/>
    <w:rsid w:val="00C3135B"/>
    <w:rsid w:val="00C43DD1"/>
    <w:rsid w:val="00C82057"/>
    <w:rsid w:val="00C820AD"/>
    <w:rsid w:val="00CA45B5"/>
    <w:rsid w:val="00CE6E2E"/>
    <w:rsid w:val="00D834A0"/>
    <w:rsid w:val="00D85419"/>
    <w:rsid w:val="00DD7D82"/>
    <w:rsid w:val="00DF3460"/>
    <w:rsid w:val="00E87B2D"/>
    <w:rsid w:val="00EC649A"/>
    <w:rsid w:val="00F10F3C"/>
    <w:rsid w:val="00F87F08"/>
    <w:rsid w:val="00FC658D"/>
    <w:rsid w:val="00FF555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D633D"/>
  <w15:chartTrackingRefBased/>
  <w15:docId w15:val="{D8F3A4AD-A939-804A-AEC1-19D33A710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151A3"/>
    <w:pPr>
      <w:tabs>
        <w:tab w:val="center" w:pos="4819"/>
        <w:tab w:val="right" w:pos="9638"/>
      </w:tabs>
    </w:pPr>
  </w:style>
  <w:style w:type="character" w:customStyle="1" w:styleId="IntestazioneCarattere">
    <w:name w:val="Intestazione Carattere"/>
    <w:basedOn w:val="Carpredefinitoparagrafo"/>
    <w:link w:val="Intestazione"/>
    <w:uiPriority w:val="99"/>
    <w:rsid w:val="000151A3"/>
  </w:style>
  <w:style w:type="paragraph" w:styleId="Pidipagina">
    <w:name w:val="footer"/>
    <w:basedOn w:val="Normale"/>
    <w:link w:val="PidipaginaCarattere"/>
    <w:uiPriority w:val="99"/>
    <w:unhideWhenUsed/>
    <w:rsid w:val="000151A3"/>
    <w:pPr>
      <w:tabs>
        <w:tab w:val="center" w:pos="4819"/>
        <w:tab w:val="right" w:pos="9638"/>
      </w:tabs>
    </w:pPr>
  </w:style>
  <w:style w:type="character" w:customStyle="1" w:styleId="PidipaginaCarattere">
    <w:name w:val="Piè di pagina Carattere"/>
    <w:basedOn w:val="Carpredefinitoparagrafo"/>
    <w:link w:val="Pidipagina"/>
    <w:uiPriority w:val="99"/>
    <w:rsid w:val="000151A3"/>
  </w:style>
  <w:style w:type="paragraph" w:styleId="Paragrafoelenco">
    <w:name w:val="List Paragraph"/>
    <w:basedOn w:val="Normale"/>
    <w:uiPriority w:val="34"/>
    <w:qFormat/>
    <w:rsid w:val="000151A3"/>
    <w:pPr>
      <w:ind w:left="720"/>
      <w:contextualSpacing/>
    </w:pPr>
  </w:style>
  <w:style w:type="character" w:styleId="Collegamentoipertestuale">
    <w:name w:val="Hyperlink"/>
    <w:basedOn w:val="Carpredefinitoparagrafo"/>
    <w:uiPriority w:val="99"/>
    <w:unhideWhenUsed/>
    <w:rsid w:val="004B0F86"/>
    <w:rPr>
      <w:color w:val="0563C1" w:themeColor="hyperlink"/>
      <w:u w:val="single"/>
    </w:rPr>
  </w:style>
  <w:style w:type="character" w:styleId="Menzionenonrisolta">
    <w:name w:val="Unresolved Mention"/>
    <w:basedOn w:val="Carpredefinitoparagrafo"/>
    <w:uiPriority w:val="99"/>
    <w:semiHidden/>
    <w:unhideWhenUsed/>
    <w:rsid w:val="004B0F86"/>
    <w:rPr>
      <w:color w:val="605E5C"/>
      <w:shd w:val="clear" w:color="auto" w:fill="E1DFDD"/>
    </w:rPr>
  </w:style>
  <w:style w:type="character" w:styleId="Collegamentovisitato">
    <w:name w:val="FollowedHyperlink"/>
    <w:basedOn w:val="Carpredefinitoparagrafo"/>
    <w:uiPriority w:val="99"/>
    <w:semiHidden/>
    <w:unhideWhenUsed/>
    <w:rsid w:val="00C820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49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ssr.eu/en/shareitali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ossr.eu/ggsitalia/"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ossr.eu/iopp/"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l.cnr.it/fossr-iopp-presentation-27-apr-2026" TargetMode="External"/><Relationship Id="rId4" Type="http://schemas.openxmlformats.org/officeDocument/2006/relationships/footnotes" Target="footnotes.xml"/><Relationship Id="rId9" Type="http://schemas.openxmlformats.org/officeDocument/2006/relationships/hyperlink" Target="https://fossr.eu/eventi/fossr-iopp-presentation"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603</Words>
  <Characters>3442</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ELISA STORACE</cp:lastModifiedBy>
  <cp:revision>2</cp:revision>
  <cp:lastPrinted>2026-01-26T17:08:00Z</cp:lastPrinted>
  <dcterms:created xsi:type="dcterms:W3CDTF">2026-04-02T12:31:00Z</dcterms:created>
  <dcterms:modified xsi:type="dcterms:W3CDTF">2026-04-02T12:31:00Z</dcterms:modified>
</cp:coreProperties>
</file>