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FA7" w:rsidRPr="008A4A07" w:rsidRDefault="0038114A" w:rsidP="008A4A0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Nota</w:t>
      </w:r>
      <w:r w:rsidR="004D3F0B">
        <w:rPr>
          <w:rFonts w:ascii="Times New Roman" w:hAnsi="Times New Roman" w:cs="Times New Roman"/>
          <w:b/>
          <w:sz w:val="28"/>
          <w:szCs w:val="24"/>
        </w:rPr>
        <w:t xml:space="preserve"> c</w:t>
      </w:r>
      <w:r w:rsidR="008A4A07" w:rsidRPr="008A4A07">
        <w:rPr>
          <w:rFonts w:ascii="Times New Roman" w:hAnsi="Times New Roman" w:cs="Times New Roman"/>
          <w:b/>
          <w:sz w:val="28"/>
          <w:szCs w:val="24"/>
        </w:rPr>
        <w:t>onsumo del suolo</w:t>
      </w:r>
    </w:p>
    <w:p w:rsidR="00D7614A" w:rsidRDefault="00F52D1F" w:rsidP="00753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dati </w:t>
      </w:r>
      <w:r w:rsidR="00E46DD2">
        <w:rPr>
          <w:rFonts w:ascii="Times New Roman" w:hAnsi="Times New Roman" w:cs="Times New Roman"/>
          <w:sz w:val="24"/>
          <w:szCs w:val="24"/>
        </w:rPr>
        <w:t>Ispra</w:t>
      </w:r>
      <w:r>
        <w:rPr>
          <w:rFonts w:ascii="Times New Roman" w:hAnsi="Times New Roman" w:cs="Times New Roman"/>
          <w:sz w:val="24"/>
          <w:szCs w:val="24"/>
        </w:rPr>
        <w:t xml:space="preserve"> del </w:t>
      </w:r>
      <w:r w:rsidR="00BB0E1A">
        <w:rPr>
          <w:rFonts w:ascii="Times New Roman" w:hAnsi="Times New Roman" w:cs="Times New Roman"/>
          <w:sz w:val="24"/>
          <w:szCs w:val="24"/>
        </w:rPr>
        <w:t xml:space="preserve">rapporto </w:t>
      </w:r>
      <w:r>
        <w:rPr>
          <w:rFonts w:ascii="Times New Roman" w:hAnsi="Times New Roman" w:cs="Times New Roman"/>
          <w:sz w:val="24"/>
          <w:szCs w:val="24"/>
        </w:rPr>
        <w:t xml:space="preserve">2015 sull’uso del suolo in Italia evidenziano come la percentuale di suolo coperta da edifici, capannoni, strade e servizi, ovvero impermeabilizzata, rispetto al totale della superficie </w:t>
      </w:r>
      <w:r w:rsidR="00D7614A">
        <w:rPr>
          <w:rFonts w:ascii="Times New Roman" w:hAnsi="Times New Roman" w:cs="Times New Roman"/>
          <w:sz w:val="24"/>
          <w:szCs w:val="24"/>
        </w:rPr>
        <w:t xml:space="preserve">nazionale è passato dal 2,7 % degli anni Cinquanta al 7 % del 2014. </w:t>
      </w:r>
    </w:p>
    <w:p w:rsidR="00D7614A" w:rsidRDefault="00D7614A" w:rsidP="00753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Nord si registra un valore maggiore, pari al 7,8 %, rispetto che al Centro e al Sud, dove le percentuali di suolo cementificato sono il 6,6 % e 6,2 % rispettivamente.</w:t>
      </w:r>
    </w:p>
    <w:p w:rsidR="008F6953" w:rsidRDefault="008F6953" w:rsidP="00753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il consumo a livello regionale, al primo posto c’è la Lombardia con l’11 %, poi il Veneto con il 10 % e al terzo posto la Campania con il 9 %. Le regioni più virtuose sono invece Trentino Alto Adige e Valle D’Aosta con un consumo pari al 3 %, meno della metà della media italiana</w:t>
      </w:r>
      <w:r w:rsidR="00EE1FE2">
        <w:rPr>
          <w:rFonts w:ascii="Times New Roman" w:hAnsi="Times New Roman" w:cs="Times New Roman"/>
          <w:sz w:val="24"/>
          <w:szCs w:val="24"/>
        </w:rPr>
        <w:t xml:space="preserve"> </w:t>
      </w:r>
      <w:r w:rsidR="00EE1FE2" w:rsidRPr="00EE1FE2">
        <w:rPr>
          <w:rFonts w:ascii="Times New Roman" w:hAnsi="Times New Roman" w:cs="Times New Roman"/>
          <w:i/>
          <w:sz w:val="24"/>
          <w:szCs w:val="24"/>
        </w:rPr>
        <w:t>(figura)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0E1A" w:rsidRDefault="008F6953" w:rsidP="00753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quadro cambia in maniera significativa se si considera il consumo di suolo effettivo, cioè calcolato escludendo le aree naturalmente protette dalla cementificazione</w:t>
      </w:r>
      <w:r w:rsidR="00E2186D">
        <w:rPr>
          <w:rFonts w:ascii="Times New Roman" w:hAnsi="Times New Roman" w:cs="Times New Roman"/>
          <w:sz w:val="24"/>
          <w:szCs w:val="24"/>
        </w:rPr>
        <w:t xml:space="preserve">: le superfici dei laghi, i corsi d’acqua e zone non edificabili </w:t>
      </w:r>
      <w:r>
        <w:rPr>
          <w:rFonts w:ascii="Times New Roman" w:hAnsi="Times New Roman" w:cs="Times New Roman"/>
          <w:sz w:val="24"/>
          <w:szCs w:val="24"/>
        </w:rPr>
        <w:t xml:space="preserve">per la loro quota o pendenza. In base a questo criterio le regioni quasi completamente montuose </w:t>
      </w:r>
      <w:r w:rsidR="00BB0E1A">
        <w:rPr>
          <w:rFonts w:ascii="Times New Roman" w:hAnsi="Times New Roman" w:cs="Times New Roman"/>
          <w:sz w:val="24"/>
          <w:szCs w:val="24"/>
        </w:rPr>
        <w:t>come Trentino Alto Adige e Valle D’Aosta balzano ovviamente in testa con il 19 % e il 31 % rispettivamente, ma anche i consumi effettivi delle altre regio</w:t>
      </w:r>
      <w:r w:rsidR="005B5AC1">
        <w:rPr>
          <w:rFonts w:ascii="Times New Roman" w:hAnsi="Times New Roman" w:cs="Times New Roman"/>
          <w:sz w:val="24"/>
          <w:szCs w:val="24"/>
        </w:rPr>
        <w:t xml:space="preserve">ni </w:t>
      </w:r>
      <w:r w:rsidR="00BB0E1A">
        <w:rPr>
          <w:rFonts w:ascii="Times New Roman" w:hAnsi="Times New Roman" w:cs="Times New Roman"/>
          <w:sz w:val="24"/>
          <w:szCs w:val="24"/>
        </w:rPr>
        <w:t>aumentano in modo rilevante:</w:t>
      </w:r>
      <w:r w:rsidR="00C15E8E">
        <w:rPr>
          <w:rFonts w:ascii="Times New Roman" w:hAnsi="Times New Roman" w:cs="Times New Roman"/>
          <w:sz w:val="24"/>
          <w:szCs w:val="24"/>
        </w:rPr>
        <w:t xml:space="preserve"> </w:t>
      </w:r>
      <w:r w:rsidR="00C15E8E" w:rsidRPr="00DF0D21">
        <w:rPr>
          <w:rFonts w:ascii="Times New Roman" w:hAnsi="Times New Roman" w:cs="Times New Roman"/>
          <w:sz w:val="24"/>
          <w:szCs w:val="24"/>
        </w:rPr>
        <w:t>spiccano</w:t>
      </w:r>
      <w:r w:rsidR="00C15E8E">
        <w:rPr>
          <w:rFonts w:ascii="Times New Roman" w:hAnsi="Times New Roman" w:cs="Times New Roman"/>
          <w:sz w:val="24"/>
          <w:szCs w:val="24"/>
        </w:rPr>
        <w:t xml:space="preserve"> ai primi posti </w:t>
      </w:r>
      <w:r w:rsidR="00BB0E1A" w:rsidRPr="00DF0D21">
        <w:rPr>
          <w:rFonts w:ascii="Times New Roman" w:hAnsi="Times New Roman" w:cs="Times New Roman"/>
          <w:sz w:val="24"/>
          <w:szCs w:val="24"/>
        </w:rPr>
        <w:t xml:space="preserve">Liguria </w:t>
      </w:r>
      <w:r w:rsidR="00BB0E1A">
        <w:rPr>
          <w:rFonts w:ascii="Times New Roman" w:hAnsi="Times New Roman" w:cs="Times New Roman"/>
          <w:sz w:val="24"/>
          <w:szCs w:val="24"/>
        </w:rPr>
        <w:t>con il 23 %, Campania con il 17 %</w:t>
      </w:r>
      <w:r w:rsidR="00C15E8E">
        <w:rPr>
          <w:rFonts w:ascii="Times New Roman" w:hAnsi="Times New Roman" w:cs="Times New Roman"/>
          <w:sz w:val="24"/>
          <w:szCs w:val="24"/>
        </w:rPr>
        <w:t xml:space="preserve"> </w:t>
      </w:r>
      <w:r w:rsidR="00BB0E1A">
        <w:rPr>
          <w:rFonts w:ascii="Times New Roman" w:hAnsi="Times New Roman" w:cs="Times New Roman"/>
          <w:sz w:val="24"/>
          <w:szCs w:val="24"/>
        </w:rPr>
        <w:t>e</w:t>
      </w:r>
      <w:r w:rsidR="00C15E8E">
        <w:rPr>
          <w:rFonts w:ascii="Times New Roman" w:hAnsi="Times New Roman" w:cs="Times New Roman"/>
          <w:sz w:val="24"/>
          <w:szCs w:val="24"/>
        </w:rPr>
        <w:t xml:space="preserve"> </w:t>
      </w:r>
      <w:r w:rsidR="00C15E8E" w:rsidRPr="00DF0D21">
        <w:rPr>
          <w:rFonts w:ascii="Times New Roman" w:hAnsi="Times New Roman" w:cs="Times New Roman"/>
          <w:sz w:val="24"/>
          <w:szCs w:val="24"/>
        </w:rPr>
        <w:t>Lombardia</w:t>
      </w:r>
      <w:r w:rsidR="007531AA">
        <w:rPr>
          <w:rFonts w:ascii="Times New Roman" w:hAnsi="Times New Roman" w:cs="Times New Roman"/>
          <w:sz w:val="24"/>
          <w:szCs w:val="24"/>
        </w:rPr>
        <w:t xml:space="preserve"> con il 16 %</w:t>
      </w:r>
      <w:r w:rsidR="00BB0E1A">
        <w:rPr>
          <w:rFonts w:ascii="Times New Roman" w:hAnsi="Times New Roman" w:cs="Times New Roman"/>
          <w:sz w:val="24"/>
          <w:szCs w:val="24"/>
        </w:rPr>
        <w:t>.</w:t>
      </w:r>
      <w:r w:rsidR="00BB0E1A" w:rsidRPr="00BB0E1A">
        <w:rPr>
          <w:rFonts w:ascii="Times New Roman" w:hAnsi="Times New Roman" w:cs="Times New Roman"/>
          <w:sz w:val="24"/>
          <w:szCs w:val="24"/>
        </w:rPr>
        <w:t xml:space="preserve"> </w:t>
      </w:r>
      <w:r w:rsidR="00BB0E1A">
        <w:rPr>
          <w:rFonts w:ascii="Times New Roman" w:hAnsi="Times New Roman" w:cs="Times New Roman"/>
          <w:sz w:val="24"/>
          <w:szCs w:val="24"/>
        </w:rPr>
        <w:t>Valori elevatissimi rispetto alla media nazionale che così ricalcolata passa dal 7 % all’11 </w:t>
      </w:r>
      <w:r w:rsidR="00BB0E1A" w:rsidRPr="00DF0D21">
        <w:rPr>
          <w:rFonts w:ascii="Times New Roman" w:hAnsi="Times New Roman" w:cs="Times New Roman"/>
          <w:sz w:val="24"/>
          <w:szCs w:val="24"/>
        </w:rPr>
        <w:t>%</w:t>
      </w:r>
      <w:r w:rsidR="00BB0E1A">
        <w:rPr>
          <w:rFonts w:ascii="Times New Roman" w:hAnsi="Times New Roman" w:cs="Times New Roman"/>
          <w:sz w:val="24"/>
          <w:szCs w:val="24"/>
        </w:rPr>
        <w:t>, tra le più alte in Europa.</w:t>
      </w:r>
      <w:r w:rsidR="00BB0E1A" w:rsidRPr="002A118A">
        <w:rPr>
          <w:rFonts w:ascii="Times New Roman" w:hAnsi="Times New Roman" w:cs="Times New Roman"/>
          <w:sz w:val="24"/>
          <w:szCs w:val="24"/>
        </w:rPr>
        <w:t xml:space="preserve"> </w:t>
      </w:r>
      <w:r w:rsidR="00BB0E1A">
        <w:rPr>
          <w:rFonts w:ascii="Times New Roman" w:hAnsi="Times New Roman" w:cs="Times New Roman"/>
          <w:sz w:val="24"/>
          <w:szCs w:val="24"/>
        </w:rPr>
        <w:t xml:space="preserve">Il documento </w:t>
      </w:r>
      <w:r w:rsidR="00E46DD2">
        <w:rPr>
          <w:rFonts w:ascii="Times New Roman" w:hAnsi="Times New Roman" w:cs="Times New Roman"/>
          <w:sz w:val="24"/>
          <w:szCs w:val="24"/>
        </w:rPr>
        <w:t>Ispra</w:t>
      </w:r>
      <w:r w:rsidR="00BB0E1A">
        <w:rPr>
          <w:rFonts w:ascii="Times New Roman" w:hAnsi="Times New Roman" w:cs="Times New Roman"/>
          <w:sz w:val="24"/>
          <w:szCs w:val="24"/>
        </w:rPr>
        <w:t xml:space="preserve"> sottolinea inoltre come a livello nazionale </w:t>
      </w:r>
      <w:r w:rsidR="00BB0E1A" w:rsidRPr="002A118A">
        <w:rPr>
          <w:rFonts w:ascii="Times New Roman" w:hAnsi="Times New Roman" w:cs="Times New Roman"/>
          <w:sz w:val="24"/>
          <w:szCs w:val="24"/>
        </w:rPr>
        <w:t>circa il 2,5% delle superfici considerate non</w:t>
      </w:r>
      <w:r w:rsidR="00BB0E1A">
        <w:rPr>
          <w:rFonts w:ascii="Times New Roman" w:hAnsi="Times New Roman" w:cs="Times New Roman"/>
          <w:sz w:val="24"/>
          <w:szCs w:val="24"/>
        </w:rPr>
        <w:t xml:space="preserve"> </w:t>
      </w:r>
      <w:r w:rsidR="00BB0E1A" w:rsidRPr="002A118A">
        <w:rPr>
          <w:rFonts w:ascii="Times New Roman" w:hAnsi="Times New Roman" w:cs="Times New Roman"/>
          <w:sz w:val="24"/>
          <w:szCs w:val="24"/>
        </w:rPr>
        <w:t>consumabili risulta comunque essere consumato</w:t>
      </w:r>
      <w:r w:rsidR="00BB0E1A">
        <w:rPr>
          <w:rFonts w:ascii="Times New Roman" w:hAnsi="Times New Roman" w:cs="Times New Roman"/>
          <w:sz w:val="24"/>
          <w:szCs w:val="24"/>
        </w:rPr>
        <w:t>.</w:t>
      </w:r>
      <w:r w:rsidR="003D38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29C" w:rsidRDefault="003D3895" w:rsidP="003D3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rapporto </w:t>
      </w:r>
      <w:r w:rsidR="00E46DD2">
        <w:rPr>
          <w:rFonts w:ascii="Times New Roman" w:hAnsi="Times New Roman" w:cs="Times New Roman"/>
          <w:sz w:val="24"/>
          <w:szCs w:val="24"/>
        </w:rPr>
        <w:t>Ispra</w:t>
      </w:r>
      <w:r>
        <w:rPr>
          <w:rFonts w:ascii="Times New Roman" w:hAnsi="Times New Roman" w:cs="Times New Roman"/>
          <w:sz w:val="24"/>
          <w:szCs w:val="24"/>
        </w:rPr>
        <w:t xml:space="preserve"> è riportato anche un interessante </w:t>
      </w:r>
      <w:r w:rsidR="005B5AC1">
        <w:rPr>
          <w:rFonts w:ascii="Times New Roman" w:hAnsi="Times New Roman" w:cs="Times New Roman"/>
          <w:sz w:val="24"/>
          <w:szCs w:val="24"/>
        </w:rPr>
        <w:t xml:space="preserve">confronto </w:t>
      </w:r>
      <w:r>
        <w:rPr>
          <w:rFonts w:ascii="Times New Roman" w:hAnsi="Times New Roman" w:cs="Times New Roman"/>
          <w:sz w:val="24"/>
          <w:szCs w:val="24"/>
        </w:rPr>
        <w:t>tra l</w:t>
      </w:r>
      <w:r w:rsidRPr="003D3895">
        <w:rPr>
          <w:rFonts w:ascii="Times New Roman" w:hAnsi="Times New Roman" w:cs="Times New Roman"/>
          <w:sz w:val="24"/>
          <w:szCs w:val="24"/>
        </w:rPr>
        <w:t xml:space="preserve">a carta nazionale del consumo di suolo </w:t>
      </w:r>
      <w:r>
        <w:rPr>
          <w:rFonts w:ascii="Times New Roman" w:hAnsi="Times New Roman" w:cs="Times New Roman"/>
          <w:sz w:val="24"/>
          <w:szCs w:val="24"/>
        </w:rPr>
        <w:t xml:space="preserve">e la mosaicatura </w:t>
      </w:r>
      <w:r w:rsidRPr="003D3895">
        <w:rPr>
          <w:rFonts w:ascii="Times New Roman" w:hAnsi="Times New Roman" w:cs="Times New Roman"/>
          <w:sz w:val="24"/>
          <w:szCs w:val="24"/>
        </w:rPr>
        <w:t>delle aree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895">
        <w:rPr>
          <w:rFonts w:ascii="Times New Roman" w:hAnsi="Times New Roman" w:cs="Times New Roman"/>
          <w:sz w:val="24"/>
          <w:szCs w:val="24"/>
        </w:rPr>
        <w:t xml:space="preserve">pericolosità idraulica media </w:t>
      </w:r>
      <w:r>
        <w:rPr>
          <w:rFonts w:ascii="Times New Roman" w:hAnsi="Times New Roman" w:cs="Times New Roman"/>
          <w:sz w:val="24"/>
          <w:szCs w:val="24"/>
        </w:rPr>
        <w:t xml:space="preserve">(cioè soggette a eventi </w:t>
      </w:r>
      <w:r w:rsidR="0089129C">
        <w:rPr>
          <w:rFonts w:ascii="Times New Roman" w:hAnsi="Times New Roman" w:cs="Times New Roman"/>
          <w:sz w:val="24"/>
          <w:szCs w:val="24"/>
        </w:rPr>
        <w:t xml:space="preserve">poco frequenti, </w:t>
      </w:r>
      <w:r>
        <w:rPr>
          <w:rFonts w:ascii="Times New Roman" w:hAnsi="Times New Roman" w:cs="Times New Roman"/>
          <w:sz w:val="24"/>
          <w:szCs w:val="24"/>
        </w:rPr>
        <w:t>c</w:t>
      </w:r>
      <w:r w:rsidR="0089129C">
        <w:rPr>
          <w:rFonts w:ascii="Times New Roman" w:hAnsi="Times New Roman" w:cs="Times New Roman"/>
          <w:sz w:val="24"/>
          <w:szCs w:val="24"/>
        </w:rPr>
        <w:t xml:space="preserve">on </w:t>
      </w:r>
      <w:r w:rsidRPr="003D3895">
        <w:rPr>
          <w:rFonts w:ascii="Times New Roman" w:hAnsi="Times New Roman" w:cs="Times New Roman"/>
          <w:sz w:val="24"/>
          <w:szCs w:val="24"/>
        </w:rPr>
        <w:t>tempi di ritorno fra 100 e 200 anni</w:t>
      </w:r>
      <w:r>
        <w:rPr>
          <w:rFonts w:ascii="Times New Roman" w:hAnsi="Times New Roman" w:cs="Times New Roman"/>
          <w:sz w:val="24"/>
          <w:szCs w:val="24"/>
        </w:rPr>
        <w:t>)</w:t>
      </w:r>
      <w:r w:rsidR="0089129C">
        <w:rPr>
          <w:rFonts w:ascii="Times New Roman" w:hAnsi="Times New Roman" w:cs="Times New Roman"/>
          <w:sz w:val="24"/>
          <w:szCs w:val="24"/>
        </w:rPr>
        <w:t>. Circa il 9% del</w:t>
      </w:r>
      <w:r w:rsidRPr="003D3895">
        <w:rPr>
          <w:rFonts w:ascii="Times New Roman" w:hAnsi="Times New Roman" w:cs="Times New Roman"/>
          <w:sz w:val="24"/>
          <w:szCs w:val="24"/>
        </w:rPr>
        <w:t xml:space="preserve"> suolo in aree a pericolosità idraulica</w:t>
      </w:r>
      <w:r w:rsidR="0089129C">
        <w:rPr>
          <w:rFonts w:ascii="Times New Roman" w:hAnsi="Times New Roman" w:cs="Times New Roman"/>
          <w:sz w:val="24"/>
          <w:szCs w:val="24"/>
        </w:rPr>
        <w:t xml:space="preserve"> risulta consumato a scala nazionale, mentre a livello regionale </w:t>
      </w:r>
      <w:r w:rsidRPr="003D3895">
        <w:rPr>
          <w:rFonts w:ascii="Times New Roman" w:hAnsi="Times New Roman" w:cs="Times New Roman"/>
          <w:sz w:val="24"/>
          <w:szCs w:val="24"/>
        </w:rPr>
        <w:t xml:space="preserve">spicca </w:t>
      </w:r>
      <w:r w:rsidR="0089129C">
        <w:rPr>
          <w:rFonts w:ascii="Times New Roman" w:hAnsi="Times New Roman" w:cs="Times New Roman"/>
          <w:sz w:val="24"/>
          <w:szCs w:val="24"/>
        </w:rPr>
        <w:t>ancora la Liguria (con il 30 %) per il consumo di aree sia a rischio idraulico sia che si trovano entro i 150 metri dai corpi idrici</w:t>
      </w:r>
      <w:r w:rsidRPr="003D3895">
        <w:rPr>
          <w:rFonts w:ascii="Times New Roman" w:hAnsi="Times New Roman" w:cs="Times New Roman"/>
          <w:sz w:val="24"/>
          <w:szCs w:val="24"/>
        </w:rPr>
        <w:t xml:space="preserve">. </w:t>
      </w:r>
      <w:r w:rsidR="0089129C">
        <w:rPr>
          <w:rFonts w:ascii="Times New Roman" w:hAnsi="Times New Roman" w:cs="Times New Roman"/>
          <w:sz w:val="24"/>
          <w:szCs w:val="24"/>
        </w:rPr>
        <w:t>Primati che espongono questa regione a un maggiore rischio di alluvioni: quattro negli ultimi due anni.</w:t>
      </w:r>
    </w:p>
    <w:p w:rsidR="003D3895" w:rsidRDefault="00502142" w:rsidP="003D3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 le province Monza,</w:t>
      </w:r>
      <w:bookmarkStart w:id="0" w:name="_GoBack"/>
      <w:bookmarkEnd w:id="0"/>
      <w:r w:rsidR="003D3895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3D389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rea</w:t>
      </w:r>
      <w:r w:rsidR="003D38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della </w:t>
      </w:r>
      <w:r w:rsidR="003D3895">
        <w:rPr>
          <w:rFonts w:ascii="Times New Roman" w:hAnsi="Times New Roman" w:cs="Times New Roman"/>
          <w:sz w:val="24"/>
          <w:szCs w:val="24"/>
        </w:rPr>
        <w:t xml:space="preserve">Brianza, Milano e Napoli </w:t>
      </w:r>
      <w:r w:rsidR="0089129C">
        <w:rPr>
          <w:rFonts w:ascii="Times New Roman" w:hAnsi="Times New Roman" w:cs="Times New Roman"/>
          <w:sz w:val="24"/>
          <w:szCs w:val="24"/>
        </w:rPr>
        <w:t xml:space="preserve">sono </w:t>
      </w:r>
      <w:r w:rsidR="00082DB6">
        <w:rPr>
          <w:rFonts w:ascii="Times New Roman" w:hAnsi="Times New Roman" w:cs="Times New Roman"/>
          <w:sz w:val="24"/>
          <w:szCs w:val="24"/>
        </w:rPr>
        <w:t>coperte di cemento per</w:t>
      </w:r>
      <w:r w:rsidR="003D3895">
        <w:rPr>
          <w:rFonts w:ascii="Times New Roman" w:hAnsi="Times New Roman" w:cs="Times New Roman"/>
          <w:sz w:val="24"/>
          <w:szCs w:val="24"/>
        </w:rPr>
        <w:t xml:space="preserve"> circa il 30% del territorio amministrato. </w:t>
      </w:r>
    </w:p>
    <w:p w:rsidR="003D3895" w:rsidRDefault="003D3895" w:rsidP="003D3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livello comunale, Roma con i suoi 30.000 ettari cementificati ha il primato di consumo in termini assoluti, mentre considerando il consumo percentuale</w:t>
      </w:r>
      <w:r w:rsidR="00082D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DB6">
        <w:rPr>
          <w:rFonts w:ascii="Times New Roman" w:hAnsi="Times New Roman" w:cs="Times New Roman"/>
          <w:sz w:val="24"/>
          <w:szCs w:val="24"/>
        </w:rPr>
        <w:t>tra i primi venti comuni</w:t>
      </w:r>
      <w:r>
        <w:rPr>
          <w:rFonts w:ascii="Times New Roman" w:hAnsi="Times New Roman" w:cs="Times New Roman"/>
          <w:sz w:val="24"/>
          <w:szCs w:val="24"/>
        </w:rPr>
        <w:t xml:space="preserve"> nove sono nel napoletano. Diversi </w:t>
      </w:r>
      <w:r w:rsidRPr="003D3895">
        <w:rPr>
          <w:rFonts w:ascii="Times New Roman" w:hAnsi="Times New Roman" w:cs="Times New Roman"/>
          <w:sz w:val="24"/>
          <w:szCs w:val="24"/>
        </w:rPr>
        <w:t xml:space="preserve">comuni </w:t>
      </w:r>
      <w:r w:rsidR="00082DB6">
        <w:rPr>
          <w:rFonts w:ascii="Times New Roman" w:hAnsi="Times New Roman" w:cs="Times New Roman"/>
          <w:sz w:val="24"/>
          <w:szCs w:val="24"/>
        </w:rPr>
        <w:t xml:space="preserve">superano il 50% </w:t>
      </w:r>
      <w:r w:rsidR="00082DB6" w:rsidRPr="003D3895">
        <w:rPr>
          <w:rFonts w:ascii="Times New Roman" w:hAnsi="Times New Roman" w:cs="Times New Roman"/>
          <w:sz w:val="24"/>
          <w:szCs w:val="24"/>
        </w:rPr>
        <w:t>di territorio consumato</w:t>
      </w:r>
      <w:r w:rsidR="00082DB6">
        <w:rPr>
          <w:rFonts w:ascii="Times New Roman" w:hAnsi="Times New Roman" w:cs="Times New Roman"/>
          <w:sz w:val="24"/>
          <w:szCs w:val="24"/>
        </w:rPr>
        <w:t xml:space="preserve"> e quelli situati nelle </w:t>
      </w:r>
      <w:r w:rsidRPr="003D3895">
        <w:rPr>
          <w:rFonts w:ascii="Times New Roman" w:hAnsi="Times New Roman" w:cs="Times New Roman"/>
          <w:sz w:val="24"/>
          <w:szCs w:val="24"/>
        </w:rPr>
        <w:t>province di Napoli, Caserta, Milano</w:t>
      </w:r>
      <w:r>
        <w:rPr>
          <w:rFonts w:ascii="Times New Roman" w:hAnsi="Times New Roman" w:cs="Times New Roman"/>
          <w:sz w:val="24"/>
          <w:szCs w:val="24"/>
        </w:rPr>
        <w:t xml:space="preserve"> e Torino</w:t>
      </w:r>
      <w:r w:rsidR="00082DB6">
        <w:rPr>
          <w:rFonts w:ascii="Times New Roman" w:hAnsi="Times New Roman" w:cs="Times New Roman"/>
          <w:sz w:val="24"/>
          <w:szCs w:val="24"/>
        </w:rPr>
        <w:t xml:space="preserve"> mostran</w:t>
      </w:r>
      <w:r w:rsidRPr="003D3895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spesso </w:t>
      </w:r>
      <w:r w:rsidR="00082DB6"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D3895">
        <w:rPr>
          <w:rFonts w:ascii="Times New Roman" w:hAnsi="Times New Roman" w:cs="Times New Roman"/>
          <w:sz w:val="24"/>
          <w:szCs w:val="24"/>
        </w:rPr>
        <w:t xml:space="preserve"> tendenza di </w:t>
      </w:r>
      <w:r>
        <w:rPr>
          <w:rFonts w:ascii="Times New Roman" w:hAnsi="Times New Roman" w:cs="Times New Roman"/>
          <w:sz w:val="24"/>
          <w:szCs w:val="24"/>
        </w:rPr>
        <w:t xml:space="preserve">uso del suolo collegata </w:t>
      </w:r>
      <w:r w:rsidRPr="003D3895">
        <w:rPr>
          <w:rFonts w:ascii="Times New Roman" w:hAnsi="Times New Roman" w:cs="Times New Roman"/>
          <w:sz w:val="24"/>
          <w:szCs w:val="24"/>
        </w:rPr>
        <w:t>ai processi di urbanizzazione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895">
        <w:rPr>
          <w:rFonts w:ascii="Times New Roman" w:hAnsi="Times New Roman" w:cs="Times New Roman"/>
          <w:sz w:val="24"/>
          <w:szCs w:val="24"/>
        </w:rPr>
        <w:t xml:space="preserve">dei rispettivi capoluoghi di provincia, </w:t>
      </w:r>
      <w:r>
        <w:rPr>
          <w:rFonts w:ascii="Times New Roman" w:hAnsi="Times New Roman" w:cs="Times New Roman"/>
          <w:sz w:val="24"/>
          <w:szCs w:val="24"/>
        </w:rPr>
        <w:t>con i quali vanno spesso a formare un’unica grande metropoli.</w:t>
      </w:r>
    </w:p>
    <w:p w:rsidR="003D3895" w:rsidRDefault="003D3895" w:rsidP="003D3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1FE2" w:rsidRDefault="00EE1FE2" w:rsidP="003D3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lastRenderedPageBreak/>
        <w:drawing>
          <wp:inline distT="0" distB="0" distL="0" distR="0" wp14:anchorId="13792B2D" wp14:editId="2A7A1BB1">
            <wp:extent cx="6019800" cy="3009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" t="1730" r="860" b="2076"/>
                    <a:stretch/>
                  </pic:blipFill>
                  <pic:spPr bwMode="auto">
                    <a:xfrm>
                      <a:off x="0" y="0"/>
                      <a:ext cx="6020385" cy="3010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E1F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01"/>
    <w:family w:val="modern"/>
    <w:pitch w:val="fixed"/>
  </w:font>
  <w:font w:name="Nimbus Mono 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07118"/>
    <w:multiLevelType w:val="multilevel"/>
    <w:tmpl w:val="E0DAAD28"/>
    <w:lvl w:ilvl="0">
      <w:start w:val="1"/>
      <w:numFmt w:val="bullet"/>
      <w:lvlText w:val="-"/>
      <w:lvlJc w:val="left"/>
      <w:pPr>
        <w:tabs>
          <w:tab w:val="num" w:pos="720"/>
        </w:tabs>
        <w:ind w:left="720" w:firstLine="360"/>
      </w:pPr>
      <w:rPr>
        <w:rFonts w:ascii="Liberation Serif" w:hAnsi="Liberation Serif" w:cs="Liberation Serif" w:hint="default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rFonts w:ascii="Liberation Serif" w:hAnsi="Liberation Serif" w:cs="Liberation Serif" w:hint="default"/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rFonts w:ascii="Liberation Serif" w:hAnsi="Liberation Serif" w:cs="Liberation Serif" w:hint="default"/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rFonts w:ascii="Liberation Serif" w:hAnsi="Liberation Serif" w:cs="Liberation Serif" w:hint="default"/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rFonts w:ascii="Liberation Serif" w:hAnsi="Liberation Serif" w:cs="Liberation Serif" w:hint="default"/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rFonts w:ascii="Liberation Serif" w:hAnsi="Liberation Serif" w:cs="Liberation Serif" w:hint="default"/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rFonts w:ascii="Liberation Serif" w:hAnsi="Liberation Serif" w:cs="Liberation Serif" w:hint="default"/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rFonts w:ascii="Liberation Serif" w:hAnsi="Liberation Serif" w:cs="Liberation Serif" w:hint="default"/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rFonts w:ascii="Liberation Serif" w:hAnsi="Liberation Serif" w:cs="Liberation Serif" w:hint="default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7"/>
    <w:rsid w:val="00021BDA"/>
    <w:rsid w:val="00082DB6"/>
    <w:rsid w:val="000C5848"/>
    <w:rsid w:val="001347A9"/>
    <w:rsid w:val="0014020A"/>
    <w:rsid w:val="001E2D59"/>
    <w:rsid w:val="00220791"/>
    <w:rsid w:val="002223D6"/>
    <w:rsid w:val="0025256D"/>
    <w:rsid w:val="00264821"/>
    <w:rsid w:val="00276E83"/>
    <w:rsid w:val="002A118A"/>
    <w:rsid w:val="00345D58"/>
    <w:rsid w:val="00375FA7"/>
    <w:rsid w:val="0038114A"/>
    <w:rsid w:val="00384EE8"/>
    <w:rsid w:val="003A3B93"/>
    <w:rsid w:val="003C0261"/>
    <w:rsid w:val="003D3895"/>
    <w:rsid w:val="003F3E93"/>
    <w:rsid w:val="004056E3"/>
    <w:rsid w:val="00405C4C"/>
    <w:rsid w:val="00433933"/>
    <w:rsid w:val="00433F63"/>
    <w:rsid w:val="004422C0"/>
    <w:rsid w:val="00485D8C"/>
    <w:rsid w:val="004B1924"/>
    <w:rsid w:val="004D1CD3"/>
    <w:rsid w:val="004D3F0B"/>
    <w:rsid w:val="004E3CCE"/>
    <w:rsid w:val="00502142"/>
    <w:rsid w:val="005278A8"/>
    <w:rsid w:val="00533D6F"/>
    <w:rsid w:val="0053748E"/>
    <w:rsid w:val="00546EEC"/>
    <w:rsid w:val="005A3FCB"/>
    <w:rsid w:val="005B5AC1"/>
    <w:rsid w:val="005E4E91"/>
    <w:rsid w:val="006021B0"/>
    <w:rsid w:val="0064311D"/>
    <w:rsid w:val="00686766"/>
    <w:rsid w:val="006A48CE"/>
    <w:rsid w:val="006D2761"/>
    <w:rsid w:val="0073259D"/>
    <w:rsid w:val="00736459"/>
    <w:rsid w:val="007531AA"/>
    <w:rsid w:val="00753915"/>
    <w:rsid w:val="007820A9"/>
    <w:rsid w:val="007875C5"/>
    <w:rsid w:val="007A4BCC"/>
    <w:rsid w:val="007F7A21"/>
    <w:rsid w:val="00810EF6"/>
    <w:rsid w:val="0083144D"/>
    <w:rsid w:val="008537E2"/>
    <w:rsid w:val="0089129C"/>
    <w:rsid w:val="008A4A07"/>
    <w:rsid w:val="008D2270"/>
    <w:rsid w:val="008F6953"/>
    <w:rsid w:val="00926D3E"/>
    <w:rsid w:val="00A029FE"/>
    <w:rsid w:val="00A02B60"/>
    <w:rsid w:val="00A10556"/>
    <w:rsid w:val="00A24B17"/>
    <w:rsid w:val="00A507A1"/>
    <w:rsid w:val="00AE0CC8"/>
    <w:rsid w:val="00AE45C4"/>
    <w:rsid w:val="00B01FE2"/>
    <w:rsid w:val="00B124A4"/>
    <w:rsid w:val="00B834A5"/>
    <w:rsid w:val="00B870FB"/>
    <w:rsid w:val="00BB0E1A"/>
    <w:rsid w:val="00C15E8E"/>
    <w:rsid w:val="00C373D5"/>
    <w:rsid w:val="00C836B9"/>
    <w:rsid w:val="00CC0F4D"/>
    <w:rsid w:val="00CC644B"/>
    <w:rsid w:val="00CD5A42"/>
    <w:rsid w:val="00D7614A"/>
    <w:rsid w:val="00D86FD7"/>
    <w:rsid w:val="00DC0ED2"/>
    <w:rsid w:val="00DD0A80"/>
    <w:rsid w:val="00DD7479"/>
    <w:rsid w:val="00DF0D21"/>
    <w:rsid w:val="00E2186D"/>
    <w:rsid w:val="00E40AC8"/>
    <w:rsid w:val="00E46DD2"/>
    <w:rsid w:val="00E57611"/>
    <w:rsid w:val="00E6280D"/>
    <w:rsid w:val="00EC71A1"/>
    <w:rsid w:val="00EE116F"/>
    <w:rsid w:val="00EE1FE2"/>
    <w:rsid w:val="00EF2601"/>
    <w:rsid w:val="00F22C2B"/>
    <w:rsid w:val="00F3746A"/>
    <w:rsid w:val="00F52D1F"/>
    <w:rsid w:val="00FB423F"/>
    <w:rsid w:val="00FF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7CC6F-114E-4301-93C5-9D00875D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formattedText">
    <w:name w:val="Preformatted Text"/>
    <w:basedOn w:val="Normale"/>
    <w:qFormat/>
    <w:rsid w:val="00375FA7"/>
    <w:pPr>
      <w:widowControl w:val="0"/>
      <w:spacing w:after="0" w:line="240" w:lineRule="auto"/>
    </w:pPr>
    <w:rPr>
      <w:rFonts w:ascii="Liberation Mono" w:eastAsia="Nimbus Mono L" w:hAnsi="Liberation Mono" w:cs="Liberation Mono"/>
      <w:color w:val="00000A"/>
      <w:sz w:val="20"/>
      <w:szCs w:val="20"/>
      <w:lang w:val="en-US" w:eastAsia="zh-CN" w:bidi="hi-IN"/>
    </w:rPr>
  </w:style>
  <w:style w:type="paragraph" w:customStyle="1" w:styleId="LO-normal">
    <w:name w:val="LO-normal"/>
    <w:qFormat/>
    <w:rsid w:val="00375FA7"/>
    <w:pPr>
      <w:spacing w:after="0"/>
    </w:pPr>
    <w:rPr>
      <w:rFonts w:ascii="Arial" w:eastAsia="Arial" w:hAnsi="Arial" w:cs="Arial"/>
      <w:color w:val="000000"/>
      <w:lang w:eastAsia="zh-CN"/>
    </w:rPr>
  </w:style>
  <w:style w:type="paragraph" w:customStyle="1" w:styleId="Titolo11">
    <w:name w:val="Titolo 11"/>
    <w:basedOn w:val="Normale"/>
    <w:qFormat/>
    <w:rsid w:val="001347A9"/>
    <w:pPr>
      <w:keepNext/>
      <w:widowControl w:val="0"/>
      <w:spacing w:before="240" w:after="120" w:line="240" w:lineRule="auto"/>
      <w:outlineLvl w:val="0"/>
    </w:pPr>
    <w:rPr>
      <w:rFonts w:ascii="Liberation Sans" w:eastAsia="Droid Sans Fallback" w:hAnsi="Liberation Sans" w:cs="FreeSans"/>
      <w:b/>
      <w:bCs/>
      <w:color w:val="00000A"/>
      <w:sz w:val="36"/>
      <w:szCs w:val="36"/>
      <w:lang w:val="en-US"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6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6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283A5-9368-43D1-88FA-03D0199EC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Di Giulio</dc:creator>
  <cp:lastModifiedBy>Stampastage2</cp:lastModifiedBy>
  <cp:revision>27</cp:revision>
  <cp:lastPrinted>2015-11-12T09:13:00Z</cp:lastPrinted>
  <dcterms:created xsi:type="dcterms:W3CDTF">2015-11-02T12:33:00Z</dcterms:created>
  <dcterms:modified xsi:type="dcterms:W3CDTF">2015-11-12T09:45:00Z</dcterms:modified>
</cp:coreProperties>
</file>